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2F2" w:rsidRDefault="00C94E16">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w:t>
      </w:r>
      <w:r>
        <w:rPr>
          <w:rFonts w:cs="Arial" w:hint="eastAsia"/>
          <w:b/>
          <w:lang w:val="en-US" w:eastAsia="zh-CN"/>
        </w:rPr>
        <w:t xml:space="preserve"> </w:t>
      </w:r>
      <w:r>
        <w:rPr>
          <w:rFonts w:cs="Arial"/>
          <w:b/>
        </w:rPr>
        <w:t>RAN Meeting #1</w:t>
      </w:r>
      <w:r>
        <w:rPr>
          <w:rFonts w:cs="Arial" w:hint="eastAsia"/>
          <w:b/>
          <w:lang w:val="en-US" w:eastAsia="zh-CN"/>
        </w:rPr>
        <w:t xml:space="preserve">03           </w:t>
      </w:r>
      <w:bookmarkStart w:id="5" w:name="_GoBack"/>
      <w:bookmarkEnd w:id="5"/>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w:t>
      </w:r>
      <w:r>
        <w:rPr>
          <w:rFonts w:cs="Arial" w:hint="eastAsia"/>
          <w:b/>
          <w:lang w:val="en-US" w:eastAsia="zh-CN"/>
        </w:rPr>
        <w:t>P</w:t>
      </w:r>
      <w:r>
        <w:rPr>
          <w:rFonts w:cs="Arial"/>
          <w:b/>
        </w:rPr>
        <w:t>-2</w:t>
      </w:r>
      <w:r>
        <w:rPr>
          <w:rFonts w:cs="Arial" w:hint="eastAsia"/>
          <w:b/>
          <w:lang w:val="en-US" w:eastAsia="zh-CN"/>
        </w:rPr>
        <w:t>40468</w:t>
      </w:r>
    </w:p>
    <w:p w:rsidR="002862F2" w:rsidRDefault="00C94E16">
      <w:pPr>
        <w:snapToGrid w:val="0"/>
        <w:spacing w:after="0" w:line="240" w:lineRule="auto"/>
        <w:rPr>
          <w:rFonts w:cs="Arial"/>
          <w:b/>
          <w:lang w:val="en-US" w:eastAsia="zh-CN"/>
        </w:rPr>
      </w:pPr>
      <w:r>
        <w:rPr>
          <w:rFonts w:cs="Arial" w:hint="eastAsia"/>
          <w:b/>
          <w:lang w:val="en-US" w:eastAsia="zh-CN"/>
        </w:rPr>
        <w:t>Maastricht, N</w:t>
      </w:r>
      <w:r w:rsidR="00FF6D33">
        <w:rPr>
          <w:rFonts w:cs="Arial"/>
          <w:b/>
          <w:lang w:val="en-US" w:eastAsia="zh-CN"/>
        </w:rPr>
        <w:t>etherlands</w:t>
      </w:r>
      <w:r>
        <w:rPr>
          <w:rFonts w:cs="Arial"/>
          <w:b/>
        </w:rPr>
        <w:t>,</w:t>
      </w:r>
      <w:r>
        <w:rPr>
          <w:rFonts w:cs="Arial" w:hint="eastAsia"/>
          <w:b/>
          <w:lang w:val="en-US" w:eastAsia="zh-CN"/>
        </w:rPr>
        <w:t xml:space="preserve"> Mar</w:t>
      </w:r>
      <w:r w:rsidR="00FF6D33">
        <w:rPr>
          <w:rFonts w:cs="Arial"/>
          <w:b/>
          <w:lang w:val="en-US" w:eastAsia="zh-CN"/>
        </w:rPr>
        <w:t>ch</w:t>
      </w:r>
      <w:r>
        <w:rPr>
          <w:rFonts w:cs="Arial"/>
          <w:b/>
        </w:rPr>
        <w:t xml:space="preserve"> </w:t>
      </w:r>
      <w:r>
        <w:rPr>
          <w:rFonts w:cs="Arial" w:hint="eastAsia"/>
          <w:b/>
          <w:lang w:val="en-US" w:eastAsia="zh-CN"/>
        </w:rPr>
        <w:t>18</w:t>
      </w:r>
      <w:r>
        <w:rPr>
          <w:rFonts w:cs="Arial" w:hint="eastAsia"/>
          <w:b/>
          <w:vertAlign w:val="superscript"/>
          <w:lang w:val="en-US" w:eastAsia="zh-CN"/>
        </w:rPr>
        <w:t>th</w:t>
      </w:r>
      <w:r>
        <w:rPr>
          <w:rFonts w:cs="Arial"/>
          <w:b/>
        </w:rPr>
        <w:t xml:space="preserve"> –</w:t>
      </w:r>
      <w:r>
        <w:rPr>
          <w:rFonts w:cs="Arial" w:hint="eastAsia"/>
          <w:b/>
          <w:lang w:val="en-US" w:eastAsia="zh-CN"/>
        </w:rPr>
        <w:t xml:space="preserve"> Mar</w:t>
      </w:r>
      <w:r w:rsidR="00FF6D33">
        <w:rPr>
          <w:rFonts w:cs="Arial"/>
          <w:b/>
          <w:lang w:val="en-US" w:eastAsia="zh-CN"/>
        </w:rPr>
        <w:t>ch</w:t>
      </w:r>
      <w:r>
        <w:rPr>
          <w:rFonts w:cs="Arial" w:hint="eastAsia"/>
          <w:b/>
          <w:lang w:val="en-US" w:eastAsia="zh-CN"/>
        </w:rPr>
        <w:t xml:space="preserve"> 21</w:t>
      </w:r>
      <w:r w:rsidR="00FF6D33">
        <w:rPr>
          <w:rFonts w:cs="Arial"/>
          <w:b/>
          <w:vertAlign w:val="superscript"/>
          <w:lang w:val="en-US" w:eastAsia="zh-CN"/>
        </w:rPr>
        <w:t>st</w:t>
      </w:r>
      <w:r>
        <w:rPr>
          <w:rFonts w:cs="Arial"/>
          <w:b/>
        </w:rPr>
        <w:t>, 202</w:t>
      </w:r>
      <w:r>
        <w:rPr>
          <w:rFonts w:cs="Arial" w:hint="eastAsia"/>
          <w:b/>
          <w:lang w:val="en-US" w:eastAsia="zh-CN"/>
        </w:rPr>
        <w:t>4</w:t>
      </w:r>
      <w:r>
        <w:rPr>
          <w:rFonts w:cs="Arial" w:hint="eastAsia"/>
          <w:b/>
          <w:lang w:val="en-US" w:eastAsia="zh-CN"/>
        </w:rPr>
        <w:tab/>
      </w:r>
    </w:p>
    <w:p w:rsidR="002862F2" w:rsidRDefault="002862F2">
      <w:pPr>
        <w:tabs>
          <w:tab w:val="center" w:pos="4536"/>
          <w:tab w:val="right" w:pos="8280"/>
          <w:tab w:val="right" w:pos="9639"/>
        </w:tabs>
        <w:snapToGrid w:val="0"/>
        <w:spacing w:after="0" w:line="240" w:lineRule="auto"/>
        <w:ind w:left="422" w:right="2" w:hangingChars="200" w:hanging="422"/>
        <w:rPr>
          <w:rFonts w:eastAsia="宋体" w:cs="Arial"/>
          <w:b/>
        </w:rPr>
      </w:pPr>
    </w:p>
    <w:p w:rsidR="002862F2" w:rsidRDefault="00C94E16">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r w:rsidR="00FF6D33">
        <w:rPr>
          <w:rFonts w:eastAsia="宋体" w:cs="Arial"/>
          <w:b/>
          <w:lang w:val="en-US" w:eastAsia="zh-CN"/>
        </w:rPr>
        <w:t xml:space="preserve">, </w:t>
      </w:r>
      <w:proofErr w:type="spellStart"/>
      <w:r w:rsidR="00FF6D33">
        <w:rPr>
          <w:rFonts w:eastAsia="宋体" w:cs="Arial"/>
          <w:b/>
          <w:lang w:val="en-US" w:eastAsia="zh-CN"/>
        </w:rPr>
        <w:t>Sanechips</w:t>
      </w:r>
      <w:proofErr w:type="spellEnd"/>
    </w:p>
    <w:p w:rsidR="002862F2" w:rsidRDefault="00C94E16">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on revising WID of Rel-18 Positioning</w:t>
      </w:r>
    </w:p>
    <w:bookmarkEnd w:id="0"/>
    <w:p w:rsidR="002862F2" w:rsidRDefault="00C94E16">
      <w:pPr>
        <w:tabs>
          <w:tab w:val="center" w:pos="4536"/>
          <w:tab w:val="right" w:pos="8280"/>
          <w:tab w:val="right" w:pos="9639"/>
        </w:tabs>
        <w:snapToGrid w:val="0"/>
        <w:spacing w:after="0" w:line="240" w:lineRule="auto"/>
        <w:ind w:left="422" w:right="2" w:hangingChars="200" w:hanging="422"/>
        <w:rPr>
          <w:rFonts w:eastAsia="宋体" w:cs="Arial"/>
          <w:b/>
          <w:highlight w:val="green"/>
          <w:lang w:val="en-US" w:eastAsia="zh-CN"/>
        </w:rPr>
      </w:pPr>
      <w:r>
        <w:rPr>
          <w:rFonts w:eastAsia="宋体" w:cs="Arial"/>
          <w:b/>
        </w:rPr>
        <w:t xml:space="preserve">Agenda item:    </w:t>
      </w:r>
      <w:r>
        <w:rPr>
          <w:rFonts w:eastAsia="宋体" w:cs="Arial" w:hint="eastAsia"/>
          <w:b/>
          <w:lang w:val="en-US" w:eastAsia="zh-CN"/>
        </w:rPr>
        <w:t>9.4.1.9</w:t>
      </w:r>
    </w:p>
    <w:bookmarkEnd w:id="1"/>
    <w:bookmarkEnd w:id="2"/>
    <w:bookmarkEnd w:id="3"/>
    <w:bookmarkEnd w:id="4"/>
    <w:p w:rsidR="002862F2" w:rsidRDefault="00C94E16">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t>Discussion and Decision</w:t>
      </w:r>
    </w:p>
    <w:p w:rsidR="002862F2" w:rsidRDefault="00C94E1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 xml:space="preserve"> Introduction</w:t>
      </w:r>
    </w:p>
    <w:p w:rsidR="002862F2" w:rsidRDefault="00CE649F">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T</w:t>
      </w:r>
      <w:r>
        <w:rPr>
          <w:rFonts w:ascii="Times New Roman" w:hAnsi="Times New Roman" w:hint="eastAsia"/>
          <w:sz w:val="20"/>
          <w:lang w:val="en-US" w:eastAsia="zh-CN"/>
        </w:rPr>
        <w:t xml:space="preserve">he </w:t>
      </w:r>
      <w:r w:rsidR="00C94E16">
        <w:rPr>
          <w:rFonts w:ascii="Times New Roman" w:hAnsi="Times New Roman" w:hint="eastAsia"/>
          <w:sz w:val="20"/>
          <w:lang w:val="en-US" w:eastAsia="zh-CN"/>
        </w:rPr>
        <w:t xml:space="preserve">latest </w:t>
      </w:r>
      <w:proofErr w:type="gramStart"/>
      <w:r w:rsidR="00C94E16">
        <w:rPr>
          <w:rFonts w:ascii="Times New Roman" w:hAnsi="Times New Roman" w:hint="eastAsia"/>
          <w:sz w:val="20"/>
          <w:lang w:val="en-US" w:eastAsia="zh-CN"/>
        </w:rPr>
        <w:t>WID[</w:t>
      </w:r>
      <w:proofErr w:type="gramEnd"/>
      <w:r w:rsidR="00C94E16">
        <w:rPr>
          <w:rFonts w:ascii="Times New Roman" w:hAnsi="Times New Roman" w:hint="eastAsia"/>
          <w:sz w:val="20"/>
          <w:lang w:val="en-US" w:eastAsia="zh-CN"/>
        </w:rPr>
        <w:t xml:space="preserve">1] of Rel-18 NR_pos_enh2-Core </w:t>
      </w:r>
      <w:r>
        <w:rPr>
          <w:rFonts w:ascii="Times New Roman" w:hAnsi="Times New Roman"/>
          <w:sz w:val="20"/>
          <w:lang w:val="en-US" w:eastAsia="zh-CN"/>
        </w:rPr>
        <w:t>was</w:t>
      </w:r>
      <w:r>
        <w:rPr>
          <w:rFonts w:ascii="Times New Roman" w:hAnsi="Times New Roman" w:hint="eastAsia"/>
          <w:sz w:val="20"/>
          <w:lang w:val="en-US" w:eastAsia="zh-CN"/>
        </w:rPr>
        <w:t xml:space="preserve"> </w:t>
      </w:r>
      <w:r w:rsidR="00C94E16">
        <w:rPr>
          <w:rFonts w:ascii="Times New Roman" w:hAnsi="Times New Roman" w:hint="eastAsia"/>
          <w:sz w:val="20"/>
          <w:lang w:val="en-US" w:eastAsia="zh-CN"/>
        </w:rPr>
        <w:t>agreed in RAN#102, in which the RAN2</w:t>
      </w:r>
      <w:r>
        <w:rPr>
          <w:rFonts w:ascii="Times New Roman" w:hAnsi="Times New Roman"/>
          <w:sz w:val="20"/>
          <w:lang w:val="en-US" w:eastAsia="zh-CN"/>
        </w:rPr>
        <w:t>-</w:t>
      </w:r>
      <w:r w:rsidR="00C94E16">
        <w:rPr>
          <w:rFonts w:ascii="Times New Roman" w:hAnsi="Times New Roman" w:hint="eastAsia"/>
          <w:sz w:val="20"/>
          <w:lang w:val="en-US" w:eastAsia="zh-CN"/>
        </w:rPr>
        <w:t>le</w:t>
      </w:r>
      <w:r w:rsidR="00C94E16">
        <w:rPr>
          <w:rFonts w:ascii="Times New Roman" w:hAnsi="Times New Roman" w:hint="eastAsia"/>
          <w:sz w:val="20"/>
          <w:lang w:val="en-US" w:eastAsia="zh-CN"/>
        </w:rPr>
        <w:t>d part in SL positioning is described as follows:</w:t>
      </w:r>
    </w:p>
    <w:tbl>
      <w:tblPr>
        <w:tblStyle w:val="aff1"/>
        <w:tblW w:w="0" w:type="auto"/>
        <w:tblLook w:val="04A0" w:firstRow="1" w:lastRow="0" w:firstColumn="1" w:lastColumn="0" w:noHBand="0" w:noVBand="1"/>
      </w:tblPr>
      <w:tblGrid>
        <w:gridCol w:w="9016"/>
      </w:tblGrid>
      <w:tr w:rsidR="002862F2">
        <w:tc>
          <w:tcPr>
            <w:tcW w:w="9242" w:type="dxa"/>
          </w:tcPr>
          <w:p w:rsidR="002862F2" w:rsidRDefault="00C94E16">
            <w:pPr>
              <w:numPr>
                <w:ilvl w:val="1"/>
                <w:numId w:val="7"/>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 xml:space="preserve">Specify unicast session-based </w:t>
            </w:r>
            <w:proofErr w:type="spellStart"/>
            <w:r>
              <w:rPr>
                <w:rFonts w:ascii="Times New Roman" w:hAnsi="Times New Roman"/>
                <w:sz w:val="20"/>
                <w:szCs w:val="20"/>
                <w:lang w:val="en-US" w:eastAsia="ko-KR"/>
              </w:rPr>
              <w:t>signalling</w:t>
            </w:r>
            <w:proofErr w:type="spellEnd"/>
            <w:r>
              <w:rPr>
                <w:rFonts w:ascii="Times New Roman" w:hAnsi="Times New Roman"/>
                <w:sz w:val="20"/>
                <w:szCs w:val="20"/>
                <w:lang w:val="en-US" w:eastAsia="ko-KR"/>
              </w:rPr>
              <w:t xml:space="preserve"> and procedures to facilitate support of SL positioning for single target UE (it is not precluded to apply the procedures to multiple target UEs but no signaling optimizations will be considered for this case) [RAN2,</w:t>
            </w:r>
            <w:r>
              <w:rPr>
                <w:rFonts w:ascii="Times New Roman" w:hAnsi="Times New Roman"/>
                <w:sz w:val="20"/>
                <w:szCs w:val="20"/>
                <w:lang w:val="en-US" w:eastAsia="ko-KR"/>
              </w:rPr>
              <w:t xml:space="preserve"> RAN3]: </w:t>
            </w:r>
          </w:p>
          <w:p w:rsidR="002862F2" w:rsidRDefault="00C94E16">
            <w:pPr>
              <w:numPr>
                <w:ilvl w:val="2"/>
                <w:numId w:val="7"/>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bCs/>
                <w:sz w:val="20"/>
                <w:szCs w:val="20"/>
              </w:rPr>
              <w:t xml:space="preserve">Specify the </w:t>
            </w:r>
            <w:r>
              <w:rPr>
                <w:rFonts w:ascii="Times New Roman" w:eastAsia="等线" w:hAnsi="Times New Roman"/>
                <w:sz w:val="20"/>
                <w:szCs w:val="20"/>
                <w:lang w:eastAsia="zh-CN"/>
              </w:rPr>
              <w:t>p</w:t>
            </w:r>
            <w:r>
              <w:rPr>
                <w:rFonts w:ascii="Times New Roman" w:hAnsi="Times New Roman"/>
                <w:sz w:val="20"/>
                <w:szCs w:val="20"/>
                <w:lang w:eastAsia="zh-CN"/>
              </w:rPr>
              <w:t xml:space="preserve">rotocol </w:t>
            </w:r>
            <w:r>
              <w:rPr>
                <w:rFonts w:ascii="Times New Roman" w:eastAsia="等线" w:hAnsi="Times New Roman"/>
                <w:sz w:val="20"/>
                <w:szCs w:val="20"/>
                <w:lang w:eastAsia="zh-CN"/>
              </w:rPr>
              <w:t xml:space="preserve">and procedures </w:t>
            </w:r>
            <w:r>
              <w:rPr>
                <w:rFonts w:ascii="Times New Roman" w:hAnsi="Times New Roman"/>
                <w:sz w:val="20"/>
                <w:szCs w:val="20"/>
                <w:lang w:eastAsia="zh-CN"/>
              </w:rPr>
              <w:t xml:space="preserve">for SL positioning between UEs (Protocol for </w:t>
            </w:r>
            <w:proofErr w:type="spellStart"/>
            <w:r>
              <w:rPr>
                <w:rFonts w:ascii="Times New Roman" w:hAnsi="Times New Roman"/>
                <w:sz w:val="20"/>
                <w:szCs w:val="20"/>
                <w:lang w:eastAsia="zh-CN"/>
              </w:rPr>
              <w:t>Sidelink</w:t>
            </w:r>
            <w:proofErr w:type="spellEnd"/>
            <w:r>
              <w:rPr>
                <w:rFonts w:ascii="Times New Roman" w:hAnsi="Times New Roman"/>
                <w:sz w:val="20"/>
                <w:szCs w:val="20"/>
                <w:lang w:eastAsia="zh-CN"/>
              </w:rPr>
              <w:t xml:space="preserve"> positioning procedures (SLPP))</w:t>
            </w:r>
            <w:r>
              <w:rPr>
                <w:rFonts w:ascii="Times New Roman" w:hAnsi="Times New Roman"/>
                <w:sz w:val="20"/>
                <w:szCs w:val="20"/>
                <w:lang w:val="en-US" w:eastAsia="ko-KR"/>
              </w:rPr>
              <w:t xml:space="preserve">. </w:t>
            </w:r>
          </w:p>
          <w:p w:rsidR="002862F2" w:rsidRDefault="00C94E16">
            <w:pPr>
              <w:numPr>
                <w:ilvl w:val="2"/>
                <w:numId w:val="7"/>
              </w:numPr>
              <w:adjustRightInd w:val="0"/>
              <w:snapToGrid w:val="0"/>
              <w:spacing w:beforeLines="50" w:before="156" w:afterLines="50" w:after="156" w:line="240" w:lineRule="auto"/>
              <w:ind w:hanging="363"/>
              <w:rPr>
                <w:rFonts w:ascii="Times New Roman" w:eastAsia="宋体" w:hAnsi="Times New Roman"/>
                <w:sz w:val="20"/>
                <w:szCs w:val="20"/>
                <w:lang w:val="en-US" w:eastAsia="ko-KR"/>
              </w:rPr>
            </w:pPr>
            <w:r>
              <w:rPr>
                <w:rFonts w:ascii="Times New Roman" w:hAnsi="Times New Roman"/>
                <w:bCs/>
                <w:sz w:val="20"/>
                <w:szCs w:val="20"/>
              </w:rPr>
              <w:t xml:space="preserve">Specify the </w:t>
            </w:r>
            <w:r>
              <w:rPr>
                <w:rFonts w:ascii="Times New Roman" w:eastAsia="等线" w:hAnsi="Times New Roman"/>
                <w:sz w:val="20"/>
                <w:szCs w:val="20"/>
                <w:lang w:eastAsia="zh-CN"/>
              </w:rPr>
              <w:t>protocol and procedures for SL positioning between UEs and a single LMF for in coverage scenario only, including</w:t>
            </w:r>
            <w:r>
              <w:rPr>
                <w:rFonts w:ascii="Times New Roman" w:eastAsia="等线" w:hAnsi="Times New Roman"/>
                <w:sz w:val="20"/>
                <w:szCs w:val="20"/>
                <w:lang w:eastAsia="zh-CN"/>
              </w:rPr>
              <w:t xml:space="preserve"> joint PC5-Uu scenarios</w:t>
            </w:r>
            <w:r>
              <w:rPr>
                <w:rFonts w:ascii="Times New Roman" w:eastAsia="MS Mincho" w:hAnsi="Times New Roman"/>
                <w:sz w:val="20"/>
                <w:szCs w:val="20"/>
                <w:lang w:eastAsia="zh-CN"/>
              </w:rPr>
              <w:t xml:space="preserve">. </w:t>
            </w:r>
          </w:p>
          <w:p w:rsidR="002862F2" w:rsidRDefault="00C94E16">
            <w:pPr>
              <w:numPr>
                <w:ilvl w:val="3"/>
                <w:numId w:val="7"/>
              </w:numPr>
              <w:adjustRightInd w:val="0"/>
              <w:snapToGrid w:val="0"/>
              <w:spacing w:beforeLines="50" w:before="156" w:afterLines="50" w:after="156" w:line="240" w:lineRule="auto"/>
              <w:ind w:hanging="363"/>
              <w:rPr>
                <w:rFonts w:ascii="Times New Roman" w:eastAsia="宋体" w:hAnsi="Times New Roman"/>
                <w:sz w:val="20"/>
                <w:szCs w:val="20"/>
                <w:lang w:val="en-US" w:eastAsia="ko-KR"/>
              </w:rPr>
            </w:pPr>
            <w:r>
              <w:rPr>
                <w:rFonts w:ascii="Times New Roman" w:hAnsi="Times New Roman"/>
                <w:sz w:val="20"/>
                <w:szCs w:val="20"/>
                <w:lang w:val="en-US" w:eastAsia="ko-KR"/>
              </w:rPr>
              <w:t>NOTE: Assumes all involved UEs are served by same LMF.</w:t>
            </w:r>
          </w:p>
          <w:p w:rsidR="002862F2" w:rsidRDefault="00C94E16">
            <w:pPr>
              <w:numPr>
                <w:ilvl w:val="2"/>
                <w:numId w:val="7"/>
              </w:numPr>
              <w:adjustRightInd w:val="0"/>
              <w:snapToGrid w:val="0"/>
              <w:spacing w:beforeLines="50" w:before="156" w:afterLines="50" w:after="156" w:line="240" w:lineRule="auto"/>
              <w:ind w:hanging="363"/>
              <w:rPr>
                <w:rFonts w:ascii="Times New Roman" w:hAnsi="Times New Roman"/>
                <w:sz w:val="20"/>
                <w:lang w:val="en-US" w:eastAsia="zh-CN"/>
              </w:rPr>
            </w:pPr>
            <w:r>
              <w:rPr>
                <w:rFonts w:ascii="Times New Roman" w:hAnsi="Times New Roman"/>
                <w:sz w:val="20"/>
                <w:szCs w:val="20"/>
                <w:lang w:val="en-US" w:eastAsia="ko-KR"/>
              </w:rPr>
              <w:t>For SL-TDOA, RAN2 will not work on procedures for synchronization of the anchor UEs. RAN2 can discuss and implement agreed RAN1 parameters related to synchronization.</w:t>
            </w:r>
          </w:p>
        </w:tc>
      </w:tr>
    </w:tbl>
    <w:p w:rsidR="002862F2" w:rsidRDefault="00C94E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This di</w:t>
      </w:r>
      <w:r>
        <w:rPr>
          <w:rFonts w:ascii="Times New Roman" w:hAnsi="Times New Roman" w:hint="eastAsia"/>
          <w:sz w:val="20"/>
          <w:lang w:val="en-US" w:eastAsia="zh-CN"/>
        </w:rPr>
        <w:t xml:space="preserve">scussion paper proposes some modification </w:t>
      </w:r>
      <w:r w:rsidR="00CE649F">
        <w:rPr>
          <w:rFonts w:ascii="Times New Roman" w:hAnsi="Times New Roman"/>
          <w:sz w:val="20"/>
          <w:lang w:val="en-US" w:eastAsia="zh-CN"/>
        </w:rPr>
        <w:t>to</w:t>
      </w:r>
      <w:r w:rsidR="00CE649F">
        <w:rPr>
          <w:rFonts w:ascii="Times New Roman" w:hAnsi="Times New Roman" w:hint="eastAsia"/>
          <w:sz w:val="20"/>
          <w:lang w:val="en-US" w:eastAsia="zh-CN"/>
        </w:rPr>
        <w:t xml:space="preserve"> </w:t>
      </w:r>
      <w:r>
        <w:rPr>
          <w:rFonts w:ascii="Times New Roman" w:hAnsi="Times New Roman" w:hint="eastAsia"/>
          <w:sz w:val="20"/>
          <w:lang w:val="en-US" w:eastAsia="zh-CN"/>
        </w:rPr>
        <w:t xml:space="preserve">this WID, based on </w:t>
      </w:r>
      <w:r w:rsidR="00FF6D33">
        <w:rPr>
          <w:rFonts w:ascii="Times New Roman" w:hAnsi="Times New Roman"/>
          <w:sz w:val="20"/>
          <w:lang w:val="en-US" w:eastAsia="zh-CN"/>
        </w:rPr>
        <w:t>the latest</w:t>
      </w:r>
      <w:r w:rsidR="00FF6D33">
        <w:rPr>
          <w:rFonts w:ascii="Times New Roman" w:hAnsi="Times New Roman" w:hint="eastAsia"/>
          <w:sz w:val="20"/>
          <w:lang w:val="en-US" w:eastAsia="zh-CN"/>
        </w:rPr>
        <w:t xml:space="preserve"> </w:t>
      </w:r>
      <w:r>
        <w:rPr>
          <w:rFonts w:ascii="Times New Roman" w:hAnsi="Times New Roman" w:hint="eastAsia"/>
          <w:sz w:val="20"/>
          <w:lang w:val="en-US" w:eastAsia="zh-CN"/>
        </w:rPr>
        <w:t>RAN2 progress.</w:t>
      </w:r>
    </w:p>
    <w:p w:rsidR="002862F2" w:rsidRDefault="00C94E1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 xml:space="preserve"> Discussion</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hint="eastAsia"/>
          <w:bCs/>
          <w:sz w:val="20"/>
          <w:szCs w:val="20"/>
          <w:lang w:val="en-US" w:eastAsia="zh-CN"/>
        </w:rPr>
        <w:t>The latest WID restricts that, the protocol and procedures for SL positioning between UEs and a single LMF should be in coverage scenario only. Based on this,</w:t>
      </w:r>
      <w:r>
        <w:rPr>
          <w:rFonts w:ascii="Times New Roman" w:hAnsi="Times New Roman" w:hint="eastAsia"/>
          <w:bCs/>
          <w:sz w:val="20"/>
          <w:szCs w:val="20"/>
          <w:lang w:val="en-US" w:eastAsia="zh-CN"/>
        </w:rPr>
        <w:t xml:space="preserve"> </w:t>
      </w:r>
      <w:r>
        <w:rPr>
          <w:rFonts w:ascii="Times New Roman" w:hAnsi="Times New Roman" w:hint="eastAsia"/>
          <w:bCs/>
          <w:sz w:val="20"/>
          <w:szCs w:val="20"/>
          <w:lang w:val="en-US" w:eastAsia="zh-CN"/>
        </w:rPr>
        <w:t xml:space="preserve">the following note </w:t>
      </w:r>
      <w:r w:rsidR="00FF6D33">
        <w:rPr>
          <w:rFonts w:ascii="Times New Roman" w:hAnsi="Times New Roman"/>
          <w:bCs/>
          <w:sz w:val="20"/>
          <w:szCs w:val="20"/>
          <w:lang w:val="en-US" w:eastAsia="zh-CN"/>
        </w:rPr>
        <w:t xml:space="preserve">has been added in TS38.305-i00[2] </w:t>
      </w:r>
      <w:r>
        <w:rPr>
          <w:rFonts w:ascii="Times New Roman" w:hAnsi="Times New Roman" w:hint="eastAsia"/>
          <w:bCs/>
          <w:sz w:val="20"/>
          <w:szCs w:val="20"/>
          <w:lang w:val="en-US" w:eastAsia="zh-CN"/>
        </w:rPr>
        <w:t>to exclude the partial coverage scenario:</w:t>
      </w:r>
    </w:p>
    <w:tbl>
      <w:tblPr>
        <w:tblStyle w:val="aff1"/>
        <w:tblW w:w="0" w:type="auto"/>
        <w:tblLook w:val="04A0" w:firstRow="1" w:lastRow="0" w:firstColumn="1" w:lastColumn="0" w:noHBand="0" w:noVBand="1"/>
      </w:tblPr>
      <w:tblGrid>
        <w:gridCol w:w="9016"/>
      </w:tblGrid>
      <w:tr w:rsidR="002862F2">
        <w:tc>
          <w:tcPr>
            <w:tcW w:w="9242" w:type="dxa"/>
          </w:tcPr>
          <w:p w:rsidR="002862F2" w:rsidRDefault="00C94E16">
            <w:pPr>
              <w:pStyle w:val="2"/>
              <w:snapToGrid w:val="0"/>
              <w:spacing w:beforeLines="50" w:before="156" w:afterLines="50" w:after="156"/>
              <w:ind w:left="0"/>
              <w:outlineLvl w:val="1"/>
              <w:rPr>
                <w:lang w:val="en-US"/>
              </w:rPr>
            </w:pPr>
            <w:bookmarkStart w:id="6" w:name="_Toc29305297"/>
            <w:bookmarkStart w:id="7" w:name="_Toc52567302"/>
            <w:bookmarkStart w:id="8" w:name="_Toc37338108"/>
            <w:bookmarkStart w:id="9" w:name="_Toc139051923"/>
            <w:bookmarkStart w:id="10" w:name="_Toc12632603"/>
            <w:bookmarkStart w:id="11" w:name="_Toc46488949"/>
            <w:r>
              <w:rPr>
                <w:lang w:val="en-US"/>
              </w:rPr>
              <w:lastRenderedPageBreak/>
              <w:t>5.1</w:t>
            </w:r>
            <w:r>
              <w:rPr>
                <w:lang w:val="en-US"/>
              </w:rPr>
              <w:tab/>
              <w:t>Architecture</w:t>
            </w:r>
            <w:bookmarkEnd w:id="6"/>
            <w:bookmarkEnd w:id="7"/>
            <w:bookmarkEnd w:id="8"/>
            <w:bookmarkEnd w:id="9"/>
            <w:bookmarkEnd w:id="10"/>
            <w:bookmarkEnd w:id="11"/>
          </w:p>
          <w:p w:rsidR="002862F2" w:rsidRDefault="00C94E16">
            <w:pPr>
              <w:widowControl/>
              <w:overflowPunct w:val="0"/>
              <w:autoSpaceDE w:val="0"/>
              <w:autoSpaceDN w:val="0"/>
              <w:adjustRightInd w:val="0"/>
              <w:snapToGrid w:val="0"/>
              <w:spacing w:beforeLines="50" w:before="156" w:afterLines="50" w:after="156" w:line="240" w:lineRule="auto"/>
              <w:jc w:val="left"/>
              <w:rPr>
                <w:rFonts w:ascii="Times New Roman" w:eastAsia="宋体" w:hAnsi="Times New Roman"/>
                <w:kern w:val="0"/>
                <w:sz w:val="20"/>
                <w:szCs w:val="20"/>
                <w:lang w:val="en-US" w:eastAsia="zh-CN" w:bidi="ar"/>
              </w:rPr>
            </w:pPr>
            <w:r>
              <w:rPr>
                <w:rFonts w:ascii="Times New Roman" w:eastAsia="宋体" w:hAnsi="Times New Roman"/>
                <w:kern w:val="0"/>
                <w:sz w:val="20"/>
                <w:szCs w:val="20"/>
                <w:lang w:val="en-US" w:eastAsia="zh-CN" w:bidi="ar"/>
              </w:rPr>
              <w:t>Figure 5.1-1 shows the architecture in 5GS applicable to positioning of a UE with NR or E-UTRA access. The positioning architecture also supports the NR PC5 i</w:t>
            </w:r>
            <w:r>
              <w:rPr>
                <w:rFonts w:ascii="Times New Roman" w:eastAsia="宋体" w:hAnsi="Times New Roman"/>
                <w:kern w:val="0"/>
                <w:sz w:val="20"/>
                <w:szCs w:val="20"/>
                <w:lang w:val="en-US" w:eastAsia="zh-CN" w:bidi="ar"/>
              </w:rPr>
              <w:t xml:space="preserve">nterface as illustrated in Figure 5.1-1. </w:t>
            </w:r>
            <w:proofErr w:type="spellStart"/>
            <w:r>
              <w:rPr>
                <w:rFonts w:ascii="Times New Roman" w:eastAsia="宋体" w:hAnsi="Times New Roman"/>
                <w:kern w:val="0"/>
                <w:sz w:val="20"/>
                <w:szCs w:val="20"/>
                <w:lang w:val="en-US" w:eastAsia="zh-CN" w:bidi="ar"/>
              </w:rPr>
              <w:t>Sidelink</w:t>
            </w:r>
            <w:proofErr w:type="spellEnd"/>
            <w:r>
              <w:rPr>
                <w:rFonts w:ascii="Times New Roman" w:eastAsia="宋体" w:hAnsi="Times New Roman"/>
                <w:kern w:val="0"/>
                <w:sz w:val="20"/>
                <w:szCs w:val="20"/>
                <w:lang w:val="en-US" w:eastAsia="zh-CN" w:bidi="ar"/>
              </w:rPr>
              <w:t xml:space="preserve"> positioning can be supported when the UE is inside NG-RAN coverage (UE A and UE B in Figure 5.1-1) and when the UE is outside NG-RAN coverage (UE C and UE D in Figure 5.1-1).</w:t>
            </w:r>
            <w:r>
              <w:rPr>
                <w:rFonts w:ascii="Times New Roman" w:eastAsia="宋体" w:hAnsi="Times New Roman" w:hint="eastAsia"/>
                <w:kern w:val="0"/>
                <w:sz w:val="20"/>
                <w:szCs w:val="20"/>
                <w:lang w:val="en-US" w:eastAsia="zh-CN" w:bidi="ar"/>
              </w:rPr>
              <w:t xml:space="preserve"> </w:t>
            </w:r>
          </w:p>
          <w:p w:rsidR="002862F2" w:rsidRDefault="00C94E16">
            <w:pPr>
              <w:pStyle w:val="afd"/>
              <w:keepLines/>
              <w:overflowPunct w:val="0"/>
              <w:autoSpaceDE w:val="0"/>
              <w:autoSpaceDN w:val="0"/>
              <w:adjustRightInd w:val="0"/>
              <w:snapToGrid w:val="0"/>
              <w:spacing w:beforeLines="50" w:before="156" w:beforeAutospacing="0" w:afterLines="50" w:after="156" w:afterAutospacing="0" w:line="240" w:lineRule="auto"/>
              <w:rPr>
                <w:highlight w:val="yellow"/>
                <w:lang w:val="en-US"/>
              </w:rPr>
            </w:pPr>
            <w:r>
              <w:rPr>
                <w:rFonts w:ascii="Times New Roman" w:eastAsia="宋体" w:hAnsi="Times New Roman"/>
                <w:sz w:val="20"/>
                <w:szCs w:val="20"/>
                <w:highlight w:val="yellow"/>
                <w:lang w:val="en-US" w:eastAsia="zh-CN" w:bidi="ar"/>
              </w:rPr>
              <w:t xml:space="preserve">NOTE: </w:t>
            </w:r>
            <w:proofErr w:type="spellStart"/>
            <w:r>
              <w:rPr>
                <w:rFonts w:ascii="Times New Roman" w:eastAsia="宋体" w:hAnsi="Times New Roman"/>
                <w:sz w:val="20"/>
                <w:szCs w:val="20"/>
                <w:highlight w:val="yellow"/>
                <w:lang w:val="en-US" w:eastAsia="zh-CN" w:bidi="ar"/>
              </w:rPr>
              <w:t>Sidelink</w:t>
            </w:r>
            <w:proofErr w:type="spellEnd"/>
            <w:r>
              <w:rPr>
                <w:rFonts w:ascii="Times New Roman" w:eastAsia="宋体" w:hAnsi="Times New Roman"/>
                <w:sz w:val="20"/>
                <w:szCs w:val="20"/>
                <w:highlight w:val="yellow"/>
                <w:lang w:val="en-US" w:eastAsia="zh-CN" w:bidi="ar"/>
              </w:rPr>
              <w:t xml:space="preserve"> positioning for</w:t>
            </w:r>
            <w:r>
              <w:rPr>
                <w:rFonts w:ascii="Times New Roman" w:eastAsia="宋体" w:hAnsi="Times New Roman"/>
                <w:sz w:val="20"/>
                <w:szCs w:val="20"/>
                <w:highlight w:val="yellow"/>
                <w:lang w:val="en-US" w:eastAsia="zh-CN" w:bidi="ar"/>
              </w:rPr>
              <w:t xml:space="preserve"> UEs in partial coverage is not supported in this Release of the specification.</w:t>
            </w:r>
          </w:p>
          <w:p w:rsidR="002862F2" w:rsidRDefault="00C94E1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object w:dxaOrig="9022" w:dyaOrig="4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1pt;height:221pt" o:ole="">
                  <v:imagedata r:id="rId8" o:title=""/>
                  <o:lock v:ext="edit" aspectratio="f"/>
                </v:shape>
                <o:OLEObject Type="Embed" ProgID="Word.Document.12" ShapeID="_x0000_i1029" DrawAspect="Content" ObjectID="_1771700345" r:id="rId9"/>
              </w:object>
            </w:r>
          </w:p>
        </w:tc>
      </w:tr>
    </w:tbl>
    <w:p w:rsidR="002862F2" w:rsidRDefault="002862F2">
      <w:pPr>
        <w:adjustRightInd w:val="0"/>
        <w:snapToGrid w:val="0"/>
        <w:spacing w:beforeLines="50" w:before="156" w:afterLines="50" w:after="156" w:line="240" w:lineRule="auto"/>
        <w:rPr>
          <w:rFonts w:cs="Arial"/>
          <w:bCs/>
          <w:lang w:val="en-US" w:eastAsia="zh-CN"/>
        </w:rPr>
      </w:pP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hint="eastAsia"/>
          <w:bCs/>
          <w:sz w:val="20"/>
          <w:szCs w:val="20"/>
          <w:lang w:val="en-US" w:eastAsia="zh-CN"/>
        </w:rPr>
        <w:t>T</w:t>
      </w:r>
      <w:r>
        <w:rPr>
          <w:rFonts w:ascii="Times New Roman" w:hAnsi="Times New Roman"/>
          <w:bCs/>
          <w:sz w:val="20"/>
          <w:szCs w:val="20"/>
          <w:lang w:val="en-US" w:eastAsia="zh-CN"/>
        </w:rPr>
        <w:t xml:space="preserve">he WID is updated to ‘only in coverage’ </w:t>
      </w:r>
      <w:r>
        <w:rPr>
          <w:rFonts w:ascii="Times New Roman" w:hAnsi="Times New Roman" w:hint="eastAsia"/>
          <w:bCs/>
          <w:sz w:val="20"/>
          <w:szCs w:val="20"/>
          <w:lang w:val="en-US" w:eastAsia="zh-CN"/>
        </w:rPr>
        <w:t xml:space="preserve">at that time </w:t>
      </w:r>
      <w:r>
        <w:rPr>
          <w:rFonts w:ascii="Times New Roman" w:hAnsi="Times New Roman"/>
          <w:bCs/>
          <w:sz w:val="20"/>
          <w:szCs w:val="20"/>
          <w:lang w:val="en-US" w:eastAsia="zh-CN"/>
        </w:rPr>
        <w:t xml:space="preserve">because RAN2 </w:t>
      </w:r>
      <w:r w:rsidR="00FF6D33">
        <w:rPr>
          <w:rFonts w:ascii="Times New Roman" w:hAnsi="Times New Roman"/>
          <w:bCs/>
          <w:sz w:val="20"/>
          <w:szCs w:val="20"/>
          <w:lang w:val="en-US" w:eastAsia="zh-CN"/>
        </w:rPr>
        <w:t>r</w:t>
      </w:r>
      <w:r w:rsidR="00FF6D33">
        <w:rPr>
          <w:rFonts w:ascii="Times New Roman" w:hAnsi="Times New Roman"/>
          <w:bCs/>
          <w:sz w:val="20"/>
          <w:szCs w:val="20"/>
          <w:lang w:val="en-US" w:eastAsia="zh-CN"/>
        </w:rPr>
        <w:t>an</w:t>
      </w:r>
      <w:r w:rsidR="00FF6D33">
        <w:rPr>
          <w:rFonts w:ascii="Times New Roman" w:hAnsi="Times New Roman"/>
          <w:bCs/>
          <w:sz w:val="20"/>
          <w:szCs w:val="20"/>
          <w:lang w:val="en-US" w:eastAsia="zh-CN"/>
        </w:rPr>
        <w:t xml:space="preserve"> </w:t>
      </w:r>
      <w:r>
        <w:rPr>
          <w:rFonts w:ascii="Times New Roman" w:hAnsi="Times New Roman"/>
          <w:bCs/>
          <w:sz w:val="20"/>
          <w:szCs w:val="20"/>
          <w:lang w:val="en-US" w:eastAsia="zh-CN"/>
        </w:rPr>
        <w:t>out of time and does not want to support SLPP-level forwarding</w:t>
      </w:r>
      <w:r>
        <w:rPr>
          <w:rFonts w:ascii="Times New Roman" w:hAnsi="Times New Roman" w:hint="eastAsia"/>
          <w:bCs/>
          <w:sz w:val="20"/>
          <w:szCs w:val="20"/>
          <w:lang w:val="en-US" w:eastAsia="zh-CN"/>
        </w:rPr>
        <w:t xml:space="preserve"> which may occur mostly in partial coverage scenario</w:t>
      </w:r>
      <w:r>
        <w:rPr>
          <w:rFonts w:ascii="Times New Roman" w:hAnsi="Times New Roman"/>
          <w:bCs/>
          <w:sz w:val="20"/>
          <w:szCs w:val="20"/>
          <w:lang w:val="en-US" w:eastAsia="zh-CN"/>
        </w:rPr>
        <w:t xml:space="preserve">. </w:t>
      </w:r>
      <w:r>
        <w:rPr>
          <w:rFonts w:ascii="Times New Roman" w:hAnsi="Times New Roman" w:hint="eastAsia"/>
          <w:bCs/>
          <w:sz w:val="20"/>
          <w:szCs w:val="20"/>
          <w:lang w:val="en-US" w:eastAsia="zh-CN"/>
        </w:rPr>
        <w:t>However</w:t>
      </w:r>
      <w:r>
        <w:rPr>
          <w:rFonts w:ascii="Times New Roman" w:hAnsi="Times New Roman"/>
          <w:bCs/>
          <w:sz w:val="20"/>
          <w:szCs w:val="20"/>
          <w:lang w:val="en-US" w:eastAsia="zh-CN"/>
        </w:rPr>
        <w:t xml:space="preserve">, forwarding functionality is finally supported </w:t>
      </w:r>
      <w:r>
        <w:rPr>
          <w:rFonts w:ascii="Times New Roman" w:hAnsi="Times New Roman" w:hint="eastAsia"/>
          <w:bCs/>
          <w:sz w:val="20"/>
          <w:szCs w:val="20"/>
          <w:lang w:val="en-US" w:eastAsia="zh-CN"/>
        </w:rPr>
        <w:t>by</w:t>
      </w:r>
      <w:r>
        <w:rPr>
          <w:rFonts w:ascii="Times New Roman" w:hAnsi="Times New Roman"/>
          <w:bCs/>
          <w:sz w:val="20"/>
          <w:szCs w:val="20"/>
          <w:lang w:val="en-US" w:eastAsia="zh-CN"/>
        </w:rPr>
        <w:t xml:space="preserve"> SA2, </w:t>
      </w:r>
      <w:r>
        <w:rPr>
          <w:rFonts w:ascii="Times New Roman" w:hAnsi="Times New Roman" w:hint="eastAsia"/>
          <w:bCs/>
          <w:sz w:val="20"/>
          <w:szCs w:val="20"/>
          <w:lang w:val="en-US" w:eastAsia="zh-CN"/>
        </w:rPr>
        <w:t>this</w:t>
      </w:r>
      <w:r>
        <w:rPr>
          <w:rFonts w:ascii="Times New Roman" w:hAnsi="Times New Roman"/>
          <w:bCs/>
          <w:sz w:val="20"/>
          <w:szCs w:val="20"/>
          <w:lang w:val="en-US" w:eastAsia="zh-CN"/>
        </w:rPr>
        <w:t xml:space="preserve"> implies SA2</w:t>
      </w:r>
      <w:r>
        <w:rPr>
          <w:rFonts w:ascii="Times New Roman" w:hAnsi="Times New Roman" w:hint="eastAsia"/>
          <w:bCs/>
          <w:sz w:val="20"/>
          <w:szCs w:val="20"/>
          <w:lang w:val="en-US" w:eastAsia="zh-CN"/>
        </w:rPr>
        <w:t xml:space="preserve"> specification </w:t>
      </w:r>
      <w:r>
        <w:rPr>
          <w:rFonts w:ascii="Times New Roman" w:hAnsi="Times New Roman"/>
          <w:bCs/>
          <w:sz w:val="20"/>
          <w:szCs w:val="20"/>
          <w:lang w:val="en-US" w:eastAsia="zh-CN"/>
        </w:rPr>
        <w:t>support</w:t>
      </w:r>
      <w:r>
        <w:rPr>
          <w:rFonts w:ascii="Times New Roman" w:hAnsi="Times New Roman" w:hint="eastAsia"/>
          <w:bCs/>
          <w:sz w:val="20"/>
          <w:szCs w:val="20"/>
          <w:lang w:val="en-US" w:eastAsia="zh-CN"/>
        </w:rPr>
        <w:t>s</w:t>
      </w:r>
      <w:r>
        <w:rPr>
          <w:rFonts w:ascii="Times New Roman" w:hAnsi="Times New Roman"/>
          <w:bCs/>
          <w:sz w:val="20"/>
          <w:szCs w:val="20"/>
          <w:lang w:val="en-US" w:eastAsia="zh-CN"/>
        </w:rPr>
        <w:t xml:space="preserve"> </w:t>
      </w:r>
      <w:r>
        <w:rPr>
          <w:rFonts w:ascii="Times New Roman" w:hAnsi="Times New Roman" w:hint="eastAsia"/>
          <w:bCs/>
          <w:sz w:val="20"/>
          <w:szCs w:val="20"/>
          <w:lang w:val="en-US" w:eastAsia="zh-CN"/>
        </w:rPr>
        <w:t>partial coverage</w:t>
      </w:r>
      <w:r>
        <w:rPr>
          <w:rFonts w:ascii="Times New Roman" w:hAnsi="Times New Roman"/>
          <w:bCs/>
          <w:sz w:val="20"/>
          <w:szCs w:val="20"/>
          <w:lang w:val="en-US" w:eastAsia="zh-CN"/>
        </w:rPr>
        <w:t xml:space="preserve"> from SA2 perspective</w:t>
      </w:r>
      <w:r>
        <w:rPr>
          <w:rFonts w:ascii="Times New Roman" w:hAnsi="Times New Roman" w:hint="eastAsia"/>
          <w:bCs/>
          <w:sz w:val="20"/>
          <w:szCs w:val="20"/>
          <w:lang w:val="en-US" w:eastAsia="zh-CN"/>
        </w:rPr>
        <w:t>. Furthermore, RAN2 does not find any additional RAN2 specif</w:t>
      </w:r>
      <w:r>
        <w:rPr>
          <w:rFonts w:ascii="Times New Roman" w:hAnsi="Times New Roman" w:hint="eastAsia"/>
          <w:bCs/>
          <w:sz w:val="20"/>
          <w:szCs w:val="20"/>
          <w:lang w:val="en-US" w:eastAsia="zh-CN"/>
        </w:rPr>
        <w:t>ication impact to support partial coverage scenario except for this NOTE in stage-2.</w:t>
      </w:r>
      <w:r>
        <w:rPr>
          <w:rFonts w:ascii="Times New Roman" w:hAnsi="Times New Roman"/>
          <w:bCs/>
          <w:sz w:val="20"/>
          <w:szCs w:val="20"/>
          <w:lang w:val="en-US" w:eastAsia="zh-CN"/>
        </w:rPr>
        <w:t xml:space="preserve"> </w:t>
      </w:r>
      <w:r>
        <w:rPr>
          <w:rFonts w:ascii="Times New Roman" w:hAnsi="Times New Roman" w:hint="eastAsia"/>
          <w:bCs/>
          <w:sz w:val="20"/>
          <w:szCs w:val="20"/>
          <w:lang w:val="en-US" w:eastAsia="zh-CN"/>
        </w:rPr>
        <w:t xml:space="preserve">In order to let RAN2 and SA2 </w:t>
      </w:r>
      <w:r>
        <w:rPr>
          <w:rFonts w:ascii="Times New Roman" w:hAnsi="Times New Roman" w:hint="eastAsia"/>
          <w:bCs/>
          <w:sz w:val="20"/>
          <w:szCs w:val="20"/>
          <w:lang w:val="en-US" w:eastAsia="zh-CN"/>
        </w:rPr>
        <w:t>align the supported feature, in RAN2#125[3], RAN2 made an agreement as follows:</w:t>
      </w:r>
    </w:p>
    <w:tbl>
      <w:tblPr>
        <w:tblStyle w:val="aff1"/>
        <w:tblW w:w="0" w:type="auto"/>
        <w:tblLook w:val="04A0" w:firstRow="1" w:lastRow="0" w:firstColumn="1" w:lastColumn="0" w:noHBand="0" w:noVBand="1"/>
      </w:tblPr>
      <w:tblGrid>
        <w:gridCol w:w="9016"/>
      </w:tblGrid>
      <w:tr w:rsidR="002862F2">
        <w:tc>
          <w:tcPr>
            <w:tcW w:w="9242" w:type="dxa"/>
          </w:tcPr>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Agreements:</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RAN2 intend to delete the NOTE in stage 2 exclu</w:t>
            </w:r>
            <w:r>
              <w:rPr>
                <w:rFonts w:ascii="Times New Roman" w:hAnsi="Times New Roman"/>
                <w:bCs/>
                <w:sz w:val="20"/>
                <w:szCs w:val="20"/>
                <w:lang w:val="en-US" w:eastAsia="zh-CN"/>
              </w:rPr>
              <w:t>ding partial coverage for SL positioning.  No stage 3 impact is anticipated.</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Companies are asked to investigate if the WID needs to be updated.</w:t>
            </w:r>
          </w:p>
        </w:tc>
      </w:tr>
    </w:tbl>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hint="eastAsia"/>
          <w:bCs/>
          <w:sz w:val="20"/>
          <w:szCs w:val="20"/>
          <w:lang w:val="en-US" w:eastAsia="zh-CN"/>
        </w:rPr>
        <w:t xml:space="preserve">With this </w:t>
      </w:r>
      <w:r>
        <w:rPr>
          <w:rFonts w:ascii="Times New Roman" w:hAnsi="Times New Roman"/>
          <w:bCs/>
          <w:sz w:val="20"/>
          <w:szCs w:val="20"/>
          <w:lang w:val="en-US" w:eastAsia="zh-CN"/>
        </w:rPr>
        <w:t>‘</w:t>
      </w:r>
      <w:r>
        <w:rPr>
          <w:rFonts w:ascii="Times New Roman" w:hAnsi="Times New Roman" w:hint="eastAsia"/>
          <w:bCs/>
          <w:sz w:val="20"/>
          <w:szCs w:val="20"/>
          <w:lang w:val="en-US" w:eastAsia="zh-CN"/>
        </w:rPr>
        <w:t>deleting the NOTE</w:t>
      </w:r>
      <w:r>
        <w:rPr>
          <w:rFonts w:ascii="Times New Roman" w:hAnsi="Times New Roman"/>
          <w:bCs/>
          <w:sz w:val="20"/>
          <w:szCs w:val="20"/>
          <w:lang w:val="en-US" w:eastAsia="zh-CN"/>
        </w:rPr>
        <w:t>’</w:t>
      </w:r>
      <w:r>
        <w:rPr>
          <w:rFonts w:ascii="Times New Roman" w:hAnsi="Times New Roman" w:hint="eastAsia"/>
          <w:bCs/>
          <w:sz w:val="20"/>
          <w:szCs w:val="20"/>
          <w:lang w:val="en-US" w:eastAsia="zh-CN"/>
        </w:rPr>
        <w:t xml:space="preserve"> agreement, it is assumed that RAN2 specification (no matter stage-2 or stage-3) can support both in coverage and partial coverage scenarios. In other words, if the WID is not updated, the NOTE should not be deleted. </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hint="eastAsia"/>
          <w:bCs/>
          <w:sz w:val="20"/>
          <w:szCs w:val="20"/>
          <w:lang w:val="en-US" w:eastAsia="zh-CN"/>
        </w:rPr>
        <w:t xml:space="preserve">In addition, </w:t>
      </w:r>
      <w:r w:rsidR="00FF6D33">
        <w:rPr>
          <w:rFonts w:ascii="Times New Roman" w:hAnsi="Times New Roman"/>
          <w:bCs/>
          <w:sz w:val="20"/>
          <w:szCs w:val="20"/>
          <w:lang w:val="en-US" w:eastAsia="zh-CN"/>
        </w:rPr>
        <w:t>a</w:t>
      </w:r>
      <w:r w:rsidR="00FF6D33">
        <w:rPr>
          <w:rFonts w:ascii="Times New Roman" w:hAnsi="Times New Roman" w:hint="eastAsia"/>
          <w:bCs/>
          <w:sz w:val="20"/>
          <w:szCs w:val="20"/>
          <w:lang w:val="en-US" w:eastAsia="zh-CN"/>
        </w:rPr>
        <w:t xml:space="preserve">ccording </w:t>
      </w:r>
      <w:r>
        <w:rPr>
          <w:rFonts w:ascii="Times New Roman" w:hAnsi="Times New Roman" w:hint="eastAsia"/>
          <w:bCs/>
          <w:sz w:val="20"/>
          <w:szCs w:val="20"/>
          <w:lang w:val="en-US" w:eastAsia="zh-CN"/>
        </w:rPr>
        <w:t xml:space="preserve">to the </w:t>
      </w:r>
      <w:r>
        <w:rPr>
          <w:rFonts w:ascii="Times New Roman" w:hAnsi="Times New Roman" w:hint="eastAsia"/>
          <w:bCs/>
          <w:sz w:val="20"/>
          <w:szCs w:val="20"/>
          <w:lang w:val="en-US" w:eastAsia="zh-CN"/>
        </w:rPr>
        <w:t>official guidance</w:t>
      </w:r>
      <w:r w:rsidR="00FF6D33">
        <w:rPr>
          <w:rFonts w:ascii="Times New Roman" w:hAnsi="Times New Roman"/>
          <w:bCs/>
          <w:sz w:val="20"/>
          <w:szCs w:val="20"/>
          <w:lang w:val="en-US" w:eastAsia="zh-CN"/>
        </w:rPr>
        <w:t xml:space="preserve"> from RAN plenary</w:t>
      </w:r>
      <w:r>
        <w:rPr>
          <w:rFonts w:ascii="Times New Roman" w:hAnsi="Times New Roman" w:hint="eastAsia"/>
          <w:bCs/>
          <w:sz w:val="20"/>
          <w:szCs w:val="20"/>
          <w:lang w:val="en-US" w:eastAsia="zh-CN"/>
        </w:rPr>
        <w:t xml:space="preserve">, what the WGs have already specified in Rel-18 for the WI should be exactly aligned with the corresponding Rel-18 WID, and WID should be up-to-date. If they are not aligned, the WID should be modified accordingly. Detailed guidance </w:t>
      </w:r>
      <w:r>
        <w:rPr>
          <w:rFonts w:ascii="Times New Roman" w:hAnsi="Times New Roman" w:hint="eastAsia"/>
          <w:bCs/>
          <w:sz w:val="20"/>
          <w:szCs w:val="20"/>
          <w:lang w:val="en-US" w:eastAsia="zh-CN"/>
        </w:rPr>
        <w:t>is shown as below:</w:t>
      </w:r>
    </w:p>
    <w:tbl>
      <w:tblPr>
        <w:tblStyle w:val="aff1"/>
        <w:tblW w:w="0" w:type="auto"/>
        <w:tblLook w:val="04A0" w:firstRow="1" w:lastRow="0" w:firstColumn="1" w:lastColumn="0" w:noHBand="0" w:noVBand="1"/>
      </w:tblPr>
      <w:tblGrid>
        <w:gridCol w:w="9016"/>
      </w:tblGrid>
      <w:tr w:rsidR="002862F2">
        <w:tc>
          <w:tcPr>
            <w:tcW w:w="9242" w:type="dxa"/>
          </w:tcPr>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In case you plan to declare your REL-18 SI/WI to be 100% complete at RAN #102,</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please also double-check that the latest SID/WID is up-to-date in all points and if not,</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lastRenderedPageBreak/>
              <w:t xml:space="preserve">please submit a corresponding revision to RAN #102 (revision marks </w:t>
            </w:r>
            <w:r>
              <w:rPr>
                <w:rFonts w:ascii="Times New Roman" w:hAnsi="Times New Roman"/>
                <w:bCs/>
                <w:sz w:val="20"/>
                <w:szCs w:val="20"/>
                <w:lang w:val="en-US" w:eastAsia="zh-CN"/>
              </w:rPr>
              <w:t>relative to last approved SID/WID please).</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hint="eastAsia"/>
                <w:bCs/>
                <w:sz w:val="20"/>
                <w:szCs w:val="20"/>
                <w:lang w:val="en-US" w:eastAsia="zh-CN"/>
              </w:rPr>
              <w:t>&lt;omitted&gt;</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3.Are all the objectives up-to-date and done (i.e. covered in CRs submitted to RAN #102, or before)?</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Note: For a SI/WI to be 100% complete all objectives have to be addressed.</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Please delete no lo</w:t>
            </w:r>
            <w:r>
              <w:rPr>
                <w:rFonts w:ascii="Times New Roman" w:hAnsi="Times New Roman"/>
                <w:bCs/>
                <w:sz w:val="20"/>
                <w:szCs w:val="20"/>
                <w:lang w:val="en-US" w:eastAsia="zh-CN"/>
              </w:rPr>
              <w:t>nger relevant objectives and if you "smuggled" in a "study-phase" into a WI (which usually has to be avoided as we have SIs for this),</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then please make sure that corresponding "study parts" do no longer apply, i.e.</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either remove them or even better</w:t>
            </w:r>
            <w:r>
              <w:rPr>
                <w:rFonts w:ascii="Times New Roman" w:hAnsi="Times New Roman"/>
                <w:bCs/>
                <w:sz w:val="20"/>
                <w:szCs w:val="20"/>
                <w:lang w:val="en-US" w:eastAsia="zh-CN"/>
              </w:rPr>
              <w:t xml:space="preserve"> document in the WID what was concluded from this study phase.</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w:t>
            </w:r>
            <w:r>
              <w:rPr>
                <w:rFonts w:ascii="Times New Roman" w:hAnsi="Times New Roman"/>
                <w:bCs/>
                <w:sz w:val="20"/>
                <w:szCs w:val="20"/>
                <w:lang w:val="en-US" w:eastAsia="zh-CN"/>
              </w:rPr>
              <w:t xml:space="preserve">  Examples:</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 study whether co-existence requirements are needed and standardize them</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=&gt;    - study whether co-existence requirements are needed (it was concluded that requirements x,</w:t>
            </w:r>
            <w:r>
              <w:rPr>
                <w:rFonts w:ascii="Times New Roman" w:hAnsi="Times New Roman"/>
                <w:bCs/>
                <w:sz w:val="20"/>
                <w:szCs w:val="20"/>
                <w:lang w:val="en-US" w:eastAsia="zh-CN"/>
              </w:rPr>
              <w:t xml:space="preserve"> y, z are needed) and standardize them</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or</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 standardize requirements x, y, z for co-existence with ...</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 study which option should be considered for </w:t>
            </w:r>
            <w:proofErr w:type="spellStart"/>
            <w:r>
              <w:rPr>
                <w:rFonts w:ascii="Times New Roman" w:hAnsi="Times New Roman"/>
                <w:bCs/>
                <w:sz w:val="20"/>
                <w:szCs w:val="20"/>
                <w:lang w:val="en-US" w:eastAsia="zh-CN"/>
              </w:rPr>
              <w:t>blabla</w:t>
            </w:r>
            <w:proofErr w:type="spellEnd"/>
            <w:r>
              <w:rPr>
                <w:rFonts w:ascii="Times New Roman" w:hAnsi="Times New Roman"/>
                <w:bCs/>
                <w:sz w:val="20"/>
                <w:szCs w:val="20"/>
                <w:lang w:val="en-US" w:eastAsia="zh-CN"/>
              </w:rPr>
              <w:t xml:space="preserve"> and standardize it</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=&gt;   - standardize option A for </w:t>
            </w:r>
            <w:proofErr w:type="spellStart"/>
            <w:r>
              <w:rPr>
                <w:rFonts w:ascii="Times New Roman" w:hAnsi="Times New Roman"/>
                <w:bCs/>
                <w:sz w:val="20"/>
                <w:szCs w:val="20"/>
                <w:lang w:val="en-US" w:eastAsia="zh-CN"/>
              </w:rPr>
              <w:t>blabla</w:t>
            </w:r>
            <w:proofErr w:type="spellEnd"/>
            <w:r>
              <w:rPr>
                <w:rFonts w:ascii="Times New Roman" w:hAnsi="Times New Roman"/>
                <w:bCs/>
                <w:sz w:val="20"/>
                <w:szCs w:val="20"/>
                <w:lang w:val="en-US" w:eastAsia="zh-CN"/>
              </w:rPr>
              <w:t xml:space="preserve">       </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w:t>
            </w:r>
            <w:r>
              <w:rPr>
                <w:rFonts w:ascii="Times New Roman" w:hAnsi="Times New Roman"/>
                <w:bCs/>
                <w:sz w:val="20"/>
                <w:szCs w:val="20"/>
                <w:lang w:val="en-US" w:eastAsia="zh-CN"/>
              </w:rPr>
              <w:t xml:space="preserve">  In general, check that the WI does not claim anything would be done in the future of this WI like</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 </w:t>
            </w:r>
            <w:proofErr w:type="spellStart"/>
            <w:r>
              <w:rPr>
                <w:rFonts w:ascii="Times New Roman" w:hAnsi="Times New Roman"/>
                <w:bCs/>
                <w:sz w:val="20"/>
                <w:szCs w:val="20"/>
                <w:lang w:val="en-US" w:eastAsia="zh-CN"/>
              </w:rPr>
              <w:t>blublub</w:t>
            </w:r>
            <w:proofErr w:type="spellEnd"/>
            <w:r>
              <w:rPr>
                <w:rFonts w:ascii="Times New Roman" w:hAnsi="Times New Roman"/>
                <w:bCs/>
                <w:sz w:val="20"/>
                <w:szCs w:val="20"/>
                <w:lang w:val="en-US" w:eastAsia="zh-CN"/>
              </w:rPr>
              <w:t xml:space="preserve"> may be done in this WI as well</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 </w:t>
            </w:r>
            <w:proofErr w:type="spellStart"/>
            <w:r>
              <w:rPr>
                <w:rFonts w:ascii="Times New Roman" w:hAnsi="Times New Roman"/>
                <w:bCs/>
                <w:sz w:val="20"/>
                <w:szCs w:val="20"/>
                <w:lang w:val="en-US" w:eastAsia="zh-CN"/>
              </w:rPr>
              <w:t>blublub</w:t>
            </w:r>
            <w:proofErr w:type="spellEnd"/>
            <w:r>
              <w:rPr>
                <w:rFonts w:ascii="Times New Roman" w:hAnsi="Times New Roman"/>
                <w:bCs/>
                <w:sz w:val="20"/>
                <w:szCs w:val="20"/>
                <w:lang w:val="en-US" w:eastAsia="zh-CN"/>
              </w:rPr>
              <w:t xml:space="preserve"> may be considered in phase x of this WI</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 </w:t>
            </w:r>
            <w:proofErr w:type="spellStart"/>
            <w:r>
              <w:rPr>
                <w:rFonts w:ascii="Times New Roman" w:hAnsi="Times New Roman"/>
                <w:bCs/>
                <w:sz w:val="20"/>
                <w:szCs w:val="20"/>
                <w:lang w:val="en-US" w:eastAsia="zh-CN"/>
              </w:rPr>
              <w:t>blubblub</w:t>
            </w:r>
            <w:proofErr w:type="spellEnd"/>
            <w:r>
              <w:rPr>
                <w:rFonts w:ascii="Times New Roman" w:hAnsi="Times New Roman"/>
                <w:bCs/>
                <w:sz w:val="20"/>
                <w:szCs w:val="20"/>
                <w:lang w:val="en-US" w:eastAsia="zh-CN"/>
              </w:rPr>
              <w:t xml:space="preserve"> could be considered under priority 123 in this WI</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When you declare a WI 100% complete, then the WI is over and NOTHING will be done in this WI anymore.</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bCs/>
                <w:sz w:val="20"/>
                <w:szCs w:val="20"/>
                <w:lang w:val="en-US" w:eastAsia="zh-CN"/>
              </w:rPr>
              <w:t xml:space="preserve">   </w:t>
            </w:r>
            <w:proofErr w:type="gramStart"/>
            <w:r>
              <w:rPr>
                <w:rFonts w:ascii="Times New Roman" w:hAnsi="Times New Roman"/>
                <w:bCs/>
                <w:sz w:val="20"/>
                <w:szCs w:val="20"/>
                <w:lang w:val="en-US" w:eastAsia="zh-CN"/>
              </w:rPr>
              <w:t>So</w:t>
            </w:r>
            <w:proofErr w:type="gramEnd"/>
            <w:r>
              <w:rPr>
                <w:rFonts w:ascii="Times New Roman" w:hAnsi="Times New Roman"/>
                <w:bCs/>
                <w:sz w:val="20"/>
                <w:szCs w:val="20"/>
                <w:lang w:val="en-US" w:eastAsia="zh-CN"/>
              </w:rPr>
              <w:t xml:space="preserve"> either </w:t>
            </w:r>
            <w:proofErr w:type="spellStart"/>
            <w:r>
              <w:rPr>
                <w:rFonts w:ascii="Times New Roman" w:hAnsi="Times New Roman"/>
                <w:bCs/>
                <w:sz w:val="20"/>
                <w:szCs w:val="20"/>
                <w:lang w:val="en-US" w:eastAsia="zh-CN"/>
              </w:rPr>
              <w:t>blublub</w:t>
            </w:r>
            <w:proofErr w:type="spellEnd"/>
            <w:r>
              <w:rPr>
                <w:rFonts w:ascii="Times New Roman" w:hAnsi="Times New Roman"/>
                <w:bCs/>
                <w:sz w:val="20"/>
                <w:szCs w:val="20"/>
                <w:lang w:val="en-US" w:eastAsia="zh-CN"/>
              </w:rPr>
              <w:t xml:space="preserve"> was done in this WI, then please document it or remove hypothetical</w:t>
            </w:r>
            <w:r>
              <w:rPr>
                <w:rFonts w:ascii="Times New Roman" w:hAnsi="Times New Roman"/>
                <w:bCs/>
                <w:sz w:val="20"/>
                <w:szCs w:val="20"/>
                <w:lang w:val="en-US" w:eastAsia="zh-CN"/>
              </w:rPr>
              <w:t xml:space="preserve"> statements.</w:t>
            </w:r>
          </w:p>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hint="eastAsia"/>
                <w:bCs/>
                <w:sz w:val="20"/>
                <w:szCs w:val="20"/>
                <w:lang w:val="en-US" w:eastAsia="zh-CN"/>
              </w:rPr>
              <w:t>&lt;</w:t>
            </w:r>
            <w:r>
              <w:rPr>
                <w:rFonts w:ascii="Times New Roman" w:hAnsi="Times New Roman" w:hint="eastAsia"/>
                <w:bCs/>
                <w:sz w:val="20"/>
                <w:szCs w:val="20"/>
                <w:lang w:val="en-US" w:eastAsia="zh-CN"/>
              </w:rPr>
              <w:t>omitted&gt;</w:t>
            </w:r>
          </w:p>
        </w:tc>
      </w:tr>
    </w:tbl>
    <w:p w:rsidR="002862F2" w:rsidRDefault="00C94E16">
      <w:pPr>
        <w:adjustRightInd w:val="0"/>
        <w:snapToGrid w:val="0"/>
        <w:spacing w:beforeLines="50" w:before="156" w:afterLines="50" w:after="156" w:line="240" w:lineRule="auto"/>
        <w:rPr>
          <w:rFonts w:ascii="Times New Roman" w:hAnsi="Times New Roman"/>
          <w:bCs/>
          <w:sz w:val="20"/>
          <w:szCs w:val="20"/>
          <w:lang w:val="en-US" w:eastAsia="zh-CN"/>
        </w:rPr>
      </w:pPr>
      <w:r>
        <w:rPr>
          <w:rFonts w:ascii="Times New Roman" w:hAnsi="Times New Roman" w:hint="eastAsia"/>
          <w:bCs/>
          <w:sz w:val="20"/>
          <w:szCs w:val="20"/>
          <w:lang w:val="en-US" w:eastAsia="zh-CN"/>
        </w:rPr>
        <w:lastRenderedPageBreak/>
        <w:t xml:space="preserve">Since Positioning WI is still in open status, based on above analysis, the restriction of </w:t>
      </w:r>
      <w:r>
        <w:rPr>
          <w:rFonts w:ascii="Times New Roman" w:hAnsi="Times New Roman"/>
          <w:bCs/>
          <w:sz w:val="20"/>
          <w:szCs w:val="20"/>
          <w:lang w:val="en-US" w:eastAsia="zh-CN"/>
        </w:rPr>
        <w:t>“</w:t>
      </w:r>
      <w:r>
        <w:rPr>
          <w:rFonts w:ascii="Times New Roman" w:hAnsi="Times New Roman" w:hint="eastAsia"/>
          <w:bCs/>
          <w:sz w:val="20"/>
          <w:szCs w:val="20"/>
          <w:lang w:val="en-US" w:eastAsia="zh-CN"/>
        </w:rPr>
        <w:t>in coverage scenario only</w:t>
      </w:r>
      <w:r>
        <w:rPr>
          <w:rFonts w:ascii="Times New Roman" w:hAnsi="Times New Roman"/>
          <w:bCs/>
          <w:sz w:val="20"/>
          <w:szCs w:val="20"/>
          <w:lang w:val="en-US" w:eastAsia="zh-CN"/>
        </w:rPr>
        <w:t>”</w:t>
      </w:r>
      <w:r>
        <w:rPr>
          <w:rFonts w:ascii="Times New Roman" w:hAnsi="Times New Roman" w:hint="eastAsia"/>
          <w:bCs/>
          <w:sz w:val="20"/>
          <w:szCs w:val="20"/>
          <w:lang w:val="en-US" w:eastAsia="zh-CN"/>
        </w:rPr>
        <w:t xml:space="preserve"> in the current WID should be deleted to align with </w:t>
      </w:r>
      <w:r w:rsidR="00FF6D33">
        <w:rPr>
          <w:rFonts w:ascii="Times New Roman" w:hAnsi="Times New Roman"/>
          <w:bCs/>
          <w:sz w:val="20"/>
          <w:szCs w:val="20"/>
          <w:lang w:val="en-US" w:eastAsia="zh-CN"/>
        </w:rPr>
        <w:t>the</w:t>
      </w:r>
      <w:r w:rsidR="00FF6D33">
        <w:rPr>
          <w:rFonts w:ascii="Times New Roman" w:hAnsi="Times New Roman" w:hint="eastAsia"/>
          <w:bCs/>
          <w:sz w:val="20"/>
          <w:szCs w:val="20"/>
          <w:lang w:val="en-US" w:eastAsia="zh-CN"/>
        </w:rPr>
        <w:t xml:space="preserve"> </w:t>
      </w:r>
      <w:r>
        <w:rPr>
          <w:rFonts w:ascii="Times New Roman" w:hAnsi="Times New Roman" w:hint="eastAsia"/>
          <w:bCs/>
          <w:sz w:val="20"/>
          <w:szCs w:val="20"/>
          <w:lang w:val="en-US" w:eastAsia="zh-CN"/>
        </w:rPr>
        <w:t>latest progress</w:t>
      </w:r>
      <w:r w:rsidR="00FF6D33">
        <w:rPr>
          <w:rFonts w:ascii="Times New Roman" w:hAnsi="Times New Roman"/>
          <w:bCs/>
          <w:sz w:val="20"/>
          <w:szCs w:val="20"/>
          <w:lang w:val="en-US" w:eastAsia="zh-CN"/>
        </w:rPr>
        <w:t xml:space="preserve"> in RAN2</w:t>
      </w:r>
      <w:r>
        <w:rPr>
          <w:rFonts w:ascii="Times New Roman" w:hAnsi="Times New Roman" w:hint="eastAsia"/>
          <w:bCs/>
          <w:sz w:val="20"/>
          <w:szCs w:val="20"/>
          <w:lang w:val="en-US" w:eastAsia="zh-CN"/>
        </w:rPr>
        <w:t>. The TP is provided in Annex.</w:t>
      </w:r>
    </w:p>
    <w:p w:rsidR="002862F2" w:rsidRDefault="00C94E16">
      <w:pPr>
        <w:adjustRightInd w:val="0"/>
        <w:snapToGrid w:val="0"/>
        <w:spacing w:beforeLines="50" w:before="156" w:afterLines="50" w:after="156" w:line="240" w:lineRule="auto"/>
        <w:rPr>
          <w:rFonts w:ascii="Times New Roman" w:hAnsi="Times New Roman"/>
          <w:b/>
          <w:i/>
          <w:iCs/>
          <w:sz w:val="20"/>
          <w:szCs w:val="20"/>
          <w:lang w:val="en-US" w:eastAsia="zh-CN"/>
        </w:rPr>
      </w:pPr>
      <w:r>
        <w:rPr>
          <w:rFonts w:ascii="Times New Roman" w:hAnsi="Times New Roman" w:hint="eastAsia"/>
          <w:b/>
          <w:bCs/>
          <w:i/>
          <w:iCs/>
          <w:sz w:val="20"/>
          <w:szCs w:val="20"/>
          <w:lang w:val="en-US" w:eastAsia="zh-CN"/>
        </w:rPr>
        <w:t xml:space="preserve">Proposal </w:t>
      </w:r>
      <w:r>
        <w:rPr>
          <w:rFonts w:ascii="Times New Roman" w:hAnsi="Times New Roman" w:hint="eastAsia"/>
          <w:b/>
          <w:bCs/>
          <w:i/>
          <w:iCs/>
          <w:sz w:val="20"/>
          <w:szCs w:val="20"/>
          <w:lang w:val="en-US" w:eastAsia="zh-CN"/>
        </w:rPr>
        <w:t xml:space="preserve">1: Adopt the WID modification in Annex, which is to delete the coverage scenario restriction in </w:t>
      </w:r>
      <w:proofErr w:type="spellStart"/>
      <w:r>
        <w:rPr>
          <w:rFonts w:ascii="Times New Roman" w:hAnsi="Times New Roman" w:hint="eastAsia"/>
          <w:b/>
          <w:bCs/>
          <w:i/>
          <w:iCs/>
          <w:sz w:val="20"/>
          <w:szCs w:val="20"/>
          <w:lang w:val="en-US" w:eastAsia="zh-CN"/>
        </w:rPr>
        <w:t>sidelink</w:t>
      </w:r>
      <w:proofErr w:type="spellEnd"/>
      <w:r>
        <w:rPr>
          <w:rFonts w:ascii="Times New Roman" w:hAnsi="Times New Roman" w:hint="eastAsia"/>
          <w:b/>
          <w:bCs/>
          <w:i/>
          <w:iCs/>
          <w:sz w:val="20"/>
          <w:szCs w:val="20"/>
          <w:lang w:val="en-US" w:eastAsia="zh-CN"/>
        </w:rPr>
        <w:t xml:space="preserve"> positioning.</w:t>
      </w:r>
    </w:p>
    <w:p w:rsidR="002862F2" w:rsidRDefault="00C94E1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rsidR="002862F2" w:rsidRDefault="00C94E16">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proposal:</w:t>
      </w:r>
    </w:p>
    <w:p w:rsidR="002862F2" w:rsidRDefault="00C94E16">
      <w:pPr>
        <w:adjustRightInd w:val="0"/>
        <w:snapToGrid w:val="0"/>
        <w:spacing w:beforeLines="50" w:before="156" w:afterLines="50" w:after="156" w:line="240" w:lineRule="auto"/>
        <w:rPr>
          <w:rFonts w:ascii="Times New Roman" w:hAnsi="Times New Roman"/>
          <w:b/>
          <w:i/>
          <w:iCs/>
          <w:sz w:val="20"/>
          <w:szCs w:val="20"/>
          <w:lang w:val="en-US" w:eastAsia="zh-CN"/>
        </w:rPr>
      </w:pPr>
      <w:bookmarkStart w:id="12" w:name="_Toc18413612"/>
      <w:bookmarkStart w:id="13" w:name="_Toc18404543"/>
      <w:bookmarkStart w:id="14" w:name="_Toc18403976"/>
      <w:r>
        <w:rPr>
          <w:rFonts w:ascii="Times New Roman" w:hAnsi="Times New Roman" w:hint="eastAsia"/>
          <w:b/>
          <w:bCs/>
          <w:i/>
          <w:iCs/>
          <w:sz w:val="20"/>
          <w:szCs w:val="20"/>
          <w:lang w:val="en-US" w:eastAsia="zh-CN"/>
        </w:rPr>
        <w:t>Proposal 1: Adopt the WID modification in Annex, which is to delete t</w:t>
      </w:r>
      <w:r>
        <w:rPr>
          <w:rFonts w:ascii="Times New Roman" w:hAnsi="Times New Roman" w:hint="eastAsia"/>
          <w:b/>
          <w:bCs/>
          <w:i/>
          <w:iCs/>
          <w:sz w:val="20"/>
          <w:szCs w:val="20"/>
          <w:lang w:val="en-US" w:eastAsia="zh-CN"/>
        </w:rPr>
        <w:t xml:space="preserve">he coverage scenario restriction in </w:t>
      </w:r>
      <w:proofErr w:type="spellStart"/>
      <w:r>
        <w:rPr>
          <w:rFonts w:ascii="Times New Roman" w:hAnsi="Times New Roman" w:hint="eastAsia"/>
          <w:b/>
          <w:bCs/>
          <w:i/>
          <w:iCs/>
          <w:sz w:val="20"/>
          <w:szCs w:val="20"/>
          <w:lang w:val="en-US" w:eastAsia="zh-CN"/>
        </w:rPr>
        <w:t>sidelink</w:t>
      </w:r>
      <w:proofErr w:type="spellEnd"/>
      <w:r>
        <w:rPr>
          <w:rFonts w:ascii="Times New Roman" w:hAnsi="Times New Roman" w:hint="eastAsia"/>
          <w:b/>
          <w:bCs/>
          <w:i/>
          <w:iCs/>
          <w:sz w:val="20"/>
          <w:szCs w:val="20"/>
          <w:lang w:val="en-US" w:eastAsia="zh-CN"/>
        </w:rPr>
        <w:t xml:space="preserve"> positioning.</w:t>
      </w:r>
    </w:p>
    <w:p w:rsidR="002862F2" w:rsidRDefault="00C94E1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 xml:space="preserve"> </w:t>
      </w:r>
      <w:r>
        <w:rPr>
          <w:rFonts w:cs="Arial"/>
          <w:kern w:val="0"/>
          <w:sz w:val="28"/>
          <w:szCs w:val="32"/>
        </w:rPr>
        <w:t>References</w:t>
      </w:r>
      <w:bookmarkEnd w:id="12"/>
      <w:bookmarkEnd w:id="13"/>
      <w:bookmarkEnd w:id="14"/>
    </w:p>
    <w:p w:rsidR="002862F2" w:rsidRDefault="00C94E16">
      <w:pPr>
        <w:numPr>
          <w:ilvl w:val="0"/>
          <w:numId w:val="8"/>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hint="eastAsia"/>
          <w:kern w:val="0"/>
          <w:sz w:val="20"/>
          <w:szCs w:val="20"/>
          <w:lang w:val="en-US" w:eastAsia="zh-CN"/>
        </w:rPr>
        <w:t xml:space="preserve">RP-233382, </w:t>
      </w:r>
      <w:r>
        <w:rPr>
          <w:rFonts w:ascii="Times New Roman" w:hAnsi="Times New Roman"/>
          <w:kern w:val="0"/>
          <w:sz w:val="20"/>
          <w:szCs w:val="20"/>
          <w:lang w:val="en-US" w:eastAsia="zh-CN"/>
        </w:rPr>
        <w:t>Revised WID on Expanded and Improved NR Positioning</w:t>
      </w:r>
      <w:r>
        <w:rPr>
          <w:rFonts w:ascii="Times New Roman" w:hAnsi="Times New Roman" w:hint="eastAsia"/>
          <w:kern w:val="0"/>
          <w:sz w:val="20"/>
          <w:szCs w:val="20"/>
          <w:lang w:val="en-US" w:eastAsia="zh-CN"/>
        </w:rPr>
        <w:t>, Intel, CATT, Ericsson, 12-2023</w:t>
      </w:r>
    </w:p>
    <w:p w:rsidR="002862F2" w:rsidRDefault="00C94E16">
      <w:pPr>
        <w:numPr>
          <w:ilvl w:val="0"/>
          <w:numId w:val="8"/>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hint="eastAsia"/>
          <w:kern w:val="0"/>
          <w:sz w:val="20"/>
          <w:szCs w:val="20"/>
          <w:lang w:val="en-US" w:eastAsia="zh-CN"/>
        </w:rPr>
        <w:t xml:space="preserve">TS38.305-i00, Stage 2 functional specification of User Equipment (UE) positioning in </w:t>
      </w:r>
      <w:r>
        <w:rPr>
          <w:rFonts w:ascii="Times New Roman" w:hAnsi="Times New Roman" w:hint="eastAsia"/>
          <w:kern w:val="0"/>
          <w:sz w:val="20"/>
          <w:szCs w:val="20"/>
          <w:lang w:val="en-US" w:eastAsia="zh-CN"/>
        </w:rPr>
        <w:t>NG-RAN, 01-2024</w:t>
      </w:r>
    </w:p>
    <w:p w:rsidR="002862F2" w:rsidRDefault="00C94E16">
      <w:pPr>
        <w:numPr>
          <w:ilvl w:val="0"/>
          <w:numId w:val="8"/>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hint="eastAsia"/>
          <w:color w:val="000000"/>
          <w:sz w:val="20"/>
          <w:szCs w:val="20"/>
          <w:lang w:val="en-US" w:eastAsia="zh-CN"/>
        </w:rPr>
        <w:lastRenderedPageBreak/>
        <w:t xml:space="preserve">R2-2401544, Report from session on positioning and </w:t>
      </w:r>
      <w:proofErr w:type="spellStart"/>
      <w:r>
        <w:rPr>
          <w:rFonts w:ascii="Times New Roman" w:hAnsi="Times New Roman" w:hint="eastAsia"/>
          <w:color w:val="000000"/>
          <w:sz w:val="20"/>
          <w:szCs w:val="20"/>
          <w:lang w:val="en-US" w:eastAsia="zh-CN"/>
        </w:rPr>
        <w:t>sidelink</w:t>
      </w:r>
      <w:proofErr w:type="spellEnd"/>
      <w:r>
        <w:rPr>
          <w:rFonts w:ascii="Times New Roman" w:hAnsi="Times New Roman" w:hint="eastAsia"/>
          <w:color w:val="000000"/>
          <w:sz w:val="20"/>
          <w:szCs w:val="20"/>
          <w:lang w:val="en-US" w:eastAsia="zh-CN"/>
        </w:rPr>
        <w:t xml:space="preserve"> relay, Session chair (MediaTek), RAN2#125, 03-2024</w:t>
      </w:r>
    </w:p>
    <w:p w:rsidR="002862F2" w:rsidRDefault="00C94E1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lastRenderedPageBreak/>
        <w:t xml:space="preserve"> Annex: TP of the WID in RP-233382</w:t>
      </w:r>
    </w:p>
    <w:tbl>
      <w:tblPr>
        <w:tblStyle w:val="aff1"/>
        <w:tblW w:w="0" w:type="auto"/>
        <w:tblLook w:val="04A0" w:firstRow="1" w:lastRow="0" w:firstColumn="1" w:lastColumn="0" w:noHBand="0" w:noVBand="1"/>
      </w:tblPr>
      <w:tblGrid>
        <w:gridCol w:w="9016"/>
      </w:tblGrid>
      <w:tr w:rsidR="002862F2">
        <w:tc>
          <w:tcPr>
            <w:tcW w:w="9242" w:type="dxa"/>
          </w:tcPr>
          <w:p w:rsidR="002862F2" w:rsidRDefault="00C94E16">
            <w:pPr>
              <w:pStyle w:val="1"/>
              <w:numPr>
                <w:ilvl w:val="0"/>
                <w:numId w:val="0"/>
              </w:numPr>
              <w:outlineLvl w:val="0"/>
              <w:rPr>
                <w:sz w:val="32"/>
                <w:szCs w:val="32"/>
              </w:rPr>
            </w:pPr>
            <w:r>
              <w:rPr>
                <w:sz w:val="32"/>
                <w:szCs w:val="32"/>
              </w:rPr>
              <w:lastRenderedPageBreak/>
              <w:t>4</w:t>
            </w:r>
            <w:r>
              <w:rPr>
                <w:sz w:val="32"/>
                <w:szCs w:val="32"/>
              </w:rPr>
              <w:tab/>
              <w:t>Objective</w:t>
            </w:r>
          </w:p>
          <w:p w:rsidR="002862F2" w:rsidRDefault="00C94E16">
            <w:pPr>
              <w:pStyle w:val="3"/>
              <w:numPr>
                <w:ilvl w:val="2"/>
                <w:numId w:val="0"/>
              </w:numPr>
              <w:outlineLvl w:val="2"/>
              <w:rPr>
                <w:color w:val="0000FF"/>
              </w:rPr>
            </w:pPr>
            <w:r>
              <w:rPr>
                <w:color w:val="0000FF"/>
              </w:rPr>
              <w:t>4.1</w:t>
            </w:r>
            <w:r>
              <w:rPr>
                <w:color w:val="0000FF"/>
              </w:rPr>
              <w:tab/>
              <w:t>Objective of Core part WI</w:t>
            </w:r>
          </w:p>
          <w:p w:rsidR="002862F2" w:rsidRDefault="00C94E16">
            <w:pPr>
              <w:spacing w:before="120" w:after="0" w:line="280" w:lineRule="atLeast"/>
              <w:rPr>
                <w:lang w:val="en-US" w:eastAsia="ko-KR"/>
              </w:rPr>
            </w:pPr>
            <w:r>
              <w:rPr>
                <w:lang w:val="en-US" w:eastAsia="ko-KR"/>
              </w:rPr>
              <w:t xml:space="preserve">The objective of this work item is to specify </w:t>
            </w:r>
            <w:r>
              <w:rPr>
                <w:lang w:val="en-US" w:eastAsia="ko-KR"/>
              </w:rPr>
              <w:t xml:space="preserve">solutions to introduce </w:t>
            </w:r>
            <w:proofErr w:type="spellStart"/>
            <w:r>
              <w:rPr>
                <w:lang w:val="en-US" w:eastAsia="ko-KR"/>
              </w:rPr>
              <w:t>sidelink</w:t>
            </w:r>
            <w:proofErr w:type="spellEnd"/>
            <w:r>
              <w:rPr>
                <w:lang w:val="en-US" w:eastAsia="ko-KR"/>
              </w:rPr>
              <w:t xml:space="preserve"> ranging/positioning, to introduce integrity for RAT-dependent positioning methods, to enable LPHAP use-case 6 defined in TS 22.104, to improve positioning accuracy, and to introduce support of positioning for </w:t>
            </w:r>
            <w:proofErr w:type="spellStart"/>
            <w:r>
              <w:rPr>
                <w:lang w:val="en-US" w:eastAsia="ko-KR"/>
              </w:rPr>
              <w:t>RedCap</w:t>
            </w:r>
            <w:proofErr w:type="spellEnd"/>
            <w:r>
              <w:rPr>
                <w:lang w:val="en-US" w:eastAsia="ko-KR"/>
              </w:rPr>
              <w:t xml:space="preserve"> UEs</w:t>
            </w:r>
            <w:r>
              <w:rPr>
                <w:lang w:val="en-US" w:eastAsia="zh-CN"/>
              </w:rPr>
              <w:t xml:space="preserve">. </w:t>
            </w:r>
            <w:r>
              <w:rPr>
                <w:lang w:val="en-US" w:eastAsia="ko-KR"/>
              </w:rPr>
              <w:t xml:space="preserve"> </w:t>
            </w:r>
          </w:p>
          <w:p w:rsidR="002862F2" w:rsidRDefault="00C94E16">
            <w:pPr>
              <w:spacing w:before="120" w:after="0" w:line="280" w:lineRule="atLeast"/>
              <w:rPr>
                <w:lang w:val="en-US" w:eastAsia="ko-KR"/>
              </w:rPr>
            </w:pPr>
            <w:r>
              <w:rPr>
                <w:lang w:val="en-US" w:eastAsia="ko-KR"/>
              </w:rPr>
              <w:t>T</w:t>
            </w:r>
            <w:r>
              <w:rPr>
                <w:lang w:val="en-US" w:eastAsia="ko-KR"/>
              </w:rPr>
              <w:t>he specific objectives of this work item are:</w:t>
            </w:r>
          </w:p>
          <w:p w:rsidR="002862F2" w:rsidRDefault="00C94E16">
            <w:pPr>
              <w:numPr>
                <w:ilvl w:val="0"/>
                <w:numId w:val="7"/>
              </w:numPr>
              <w:spacing w:after="0" w:line="276" w:lineRule="auto"/>
              <w:ind w:left="714" w:hanging="357"/>
              <w:rPr>
                <w:lang w:val="en-US" w:eastAsia="ko-KR"/>
              </w:rPr>
            </w:pPr>
            <w:r>
              <w:rPr>
                <w:lang w:val="en-US" w:eastAsia="ko-KR"/>
              </w:rPr>
              <w:t xml:space="preserve">Specify solutions for support of </w:t>
            </w:r>
            <w:proofErr w:type="spellStart"/>
            <w:r>
              <w:rPr>
                <w:lang w:val="en-US" w:eastAsia="ko-KR"/>
              </w:rPr>
              <w:t>sidelink</w:t>
            </w:r>
            <w:proofErr w:type="spellEnd"/>
            <w:r>
              <w:rPr>
                <w:lang w:val="en-US" w:eastAsia="ko-KR"/>
              </w:rPr>
              <w:t xml:space="preserve"> positioning (including ranging) in NR systems, including the following [RAN1, RAN2, RAN3, RAN4]:</w:t>
            </w:r>
          </w:p>
          <w:p w:rsidR="002862F2" w:rsidRDefault="00C94E16">
            <w:pPr>
              <w:numPr>
                <w:ilvl w:val="1"/>
                <w:numId w:val="7"/>
              </w:numPr>
              <w:spacing w:after="0" w:line="276" w:lineRule="auto"/>
              <w:rPr>
                <w:lang w:val="en-US" w:eastAsia="ko-KR"/>
              </w:rPr>
            </w:pPr>
            <w:r>
              <w:rPr>
                <w:lang w:val="en-US" w:eastAsia="ko-KR"/>
              </w:rPr>
              <w:t xml:space="preserve">Specify SL PRS for support of </w:t>
            </w:r>
            <w:proofErr w:type="spellStart"/>
            <w:r>
              <w:rPr>
                <w:lang w:val="en-US" w:eastAsia="ko-KR"/>
              </w:rPr>
              <w:t>sidelink</w:t>
            </w:r>
            <w:proofErr w:type="spellEnd"/>
            <w:r>
              <w:rPr>
                <w:lang w:val="en-US" w:eastAsia="ko-KR"/>
              </w:rPr>
              <w:t xml:space="preserve"> positioning such that the SL PRS</w:t>
            </w:r>
            <w:r>
              <w:rPr>
                <w:lang w:val="en-US" w:eastAsia="ko-KR"/>
              </w:rPr>
              <w:t xml:space="preserve"> uses a comb-based (full RE mapping pattern is not precluded) frequency domain structure and a pseudorandom-based sequence where the existing sequence of DL-PRS is used as a starting point [RAN1].</w:t>
            </w:r>
          </w:p>
          <w:p w:rsidR="002862F2" w:rsidRDefault="00C94E16">
            <w:pPr>
              <w:numPr>
                <w:ilvl w:val="2"/>
                <w:numId w:val="7"/>
              </w:numPr>
              <w:spacing w:after="0" w:line="276" w:lineRule="auto"/>
              <w:rPr>
                <w:lang w:val="en-US" w:eastAsia="ko-KR"/>
              </w:rPr>
            </w:pPr>
            <w:r>
              <w:rPr>
                <w:lang w:val="en-US" w:eastAsia="ko-KR"/>
              </w:rPr>
              <w:t xml:space="preserve">Specify support for SL PRS bandwidths of up to 100 MHz in </w:t>
            </w:r>
            <w:r>
              <w:rPr>
                <w:lang w:val="en-US" w:eastAsia="ko-KR"/>
              </w:rPr>
              <w:t>FR1 spectrum.</w:t>
            </w:r>
          </w:p>
          <w:p w:rsidR="002862F2" w:rsidRDefault="00C94E16">
            <w:pPr>
              <w:numPr>
                <w:ilvl w:val="2"/>
                <w:numId w:val="7"/>
              </w:numPr>
              <w:spacing w:after="0" w:line="276" w:lineRule="auto"/>
              <w:rPr>
                <w:lang w:val="en-US" w:eastAsia="ko-KR"/>
              </w:rPr>
            </w:pPr>
            <w:r>
              <w:rPr>
                <w:lang w:val="en-US" w:eastAsia="ko-KR"/>
              </w:rPr>
              <w:t xml:space="preserve">NOTE: SL PRS transmission in FR2 is not precluded but no FR2 specific aspects will be specified. </w:t>
            </w:r>
          </w:p>
          <w:p w:rsidR="002862F2" w:rsidRDefault="00C94E16">
            <w:pPr>
              <w:numPr>
                <w:ilvl w:val="1"/>
                <w:numId w:val="7"/>
              </w:numPr>
              <w:spacing w:after="0" w:line="276" w:lineRule="auto"/>
              <w:rPr>
                <w:rFonts w:eastAsia="MS Mincho"/>
                <w:lang w:val="en-US" w:eastAsia="ko-KR"/>
              </w:rPr>
            </w:pPr>
            <w:r>
              <w:rPr>
                <w:lang w:val="en-US" w:eastAsia="ko-KR"/>
              </w:rPr>
              <w:t>Specify measurements to support RTT-type solutions using SL, SL-</w:t>
            </w:r>
            <w:proofErr w:type="spellStart"/>
            <w:r>
              <w:rPr>
                <w:lang w:val="en-US" w:eastAsia="ko-KR"/>
              </w:rPr>
              <w:t>AoA</w:t>
            </w:r>
            <w:proofErr w:type="spellEnd"/>
            <w:r>
              <w:rPr>
                <w:lang w:val="en-US" w:eastAsia="ko-KR"/>
              </w:rPr>
              <w:t>,</w:t>
            </w:r>
            <w:r>
              <w:rPr>
                <w:color w:val="00B0F0"/>
                <w:lang w:val="en-US" w:eastAsia="ko-KR"/>
              </w:rPr>
              <w:t xml:space="preserve"> </w:t>
            </w:r>
            <w:r>
              <w:rPr>
                <w:lang w:val="en-US" w:eastAsia="ko-KR"/>
              </w:rPr>
              <w:t>and SL-TDOA [RAN1, RAN2].</w:t>
            </w:r>
          </w:p>
          <w:p w:rsidR="002862F2" w:rsidRDefault="00C94E16">
            <w:pPr>
              <w:numPr>
                <w:ilvl w:val="1"/>
                <w:numId w:val="7"/>
              </w:numPr>
              <w:spacing w:after="0" w:line="276" w:lineRule="auto"/>
              <w:rPr>
                <w:rFonts w:eastAsia="MS Mincho"/>
                <w:lang w:val="en-US" w:eastAsia="ko-KR"/>
              </w:rPr>
            </w:pPr>
            <w:r>
              <w:rPr>
                <w:lang w:val="en-US" w:eastAsia="ko-KR"/>
              </w:rPr>
              <w:t>Specify support of resource allocation for SL PRS</w:t>
            </w:r>
            <w:r>
              <w:rPr>
                <w:lang w:val="en-US" w:eastAsia="ko-KR"/>
              </w:rPr>
              <w:t>:</w:t>
            </w:r>
          </w:p>
          <w:p w:rsidR="002862F2" w:rsidRDefault="00C94E16">
            <w:pPr>
              <w:numPr>
                <w:ilvl w:val="2"/>
                <w:numId w:val="7"/>
              </w:numPr>
              <w:spacing w:after="0" w:line="276" w:lineRule="auto"/>
              <w:rPr>
                <w:rFonts w:eastAsia="MS Mincho"/>
                <w:lang w:val="en-US" w:eastAsia="ko-KR"/>
              </w:rPr>
            </w:pPr>
            <w:r>
              <w:rPr>
                <w:lang w:val="en-US" w:eastAsia="ko-KR"/>
              </w:rPr>
              <w:t>Including resource allocation Scheme 1 and Scheme 2, where Scheme 1 corresponds to a network-centric SL PRS resource allocation and Scheme 2 corresponds to UE autonomous SL PRS resource allocation [RAN1].</w:t>
            </w:r>
          </w:p>
          <w:p w:rsidR="002862F2" w:rsidRDefault="00C94E16">
            <w:pPr>
              <w:numPr>
                <w:ilvl w:val="3"/>
                <w:numId w:val="7"/>
              </w:numPr>
              <w:spacing w:after="0" w:line="276" w:lineRule="auto"/>
              <w:rPr>
                <w:rFonts w:eastAsia="MS Mincho"/>
                <w:lang w:val="en-US" w:eastAsia="ko-KR"/>
              </w:rPr>
            </w:pPr>
            <w:r>
              <w:rPr>
                <w:lang w:val="en-US" w:eastAsia="ko-KR"/>
              </w:rPr>
              <w:t>For resource allocation mechanism for SL PRS in S</w:t>
            </w:r>
            <w:r>
              <w:rPr>
                <w:lang w:val="en-US" w:eastAsia="ko-KR"/>
              </w:rPr>
              <w:t xml:space="preserve">cheme 2: </w:t>
            </w:r>
          </w:p>
          <w:p w:rsidR="002862F2" w:rsidRDefault="00C94E16">
            <w:pPr>
              <w:numPr>
                <w:ilvl w:val="4"/>
                <w:numId w:val="7"/>
              </w:numPr>
              <w:spacing w:after="0" w:line="276" w:lineRule="auto"/>
              <w:rPr>
                <w:rFonts w:eastAsia="MS Mincho"/>
                <w:lang w:val="en-US" w:eastAsia="ko-KR"/>
              </w:rPr>
            </w:pPr>
            <w:r>
              <w:rPr>
                <w:bCs/>
              </w:rPr>
              <w:t>Study and specify support of sensing-based resource allocation, and/or a random resource selection [RAN1].</w:t>
            </w:r>
          </w:p>
          <w:p w:rsidR="002862F2" w:rsidRDefault="00C94E16">
            <w:pPr>
              <w:numPr>
                <w:ilvl w:val="4"/>
                <w:numId w:val="7"/>
              </w:numPr>
              <w:spacing w:after="0" w:line="276" w:lineRule="auto"/>
              <w:rPr>
                <w:rFonts w:eastAsia="MS Mincho"/>
                <w:lang w:val="en-US" w:eastAsia="ko-KR"/>
              </w:rPr>
            </w:pPr>
            <w:r>
              <w:rPr>
                <w:rFonts w:eastAsia="MS Mincho"/>
                <w:lang w:val="en-US" w:eastAsia="ko-KR"/>
              </w:rPr>
              <w:t>Study and specify solutions for congestion control for SL PRS and/or inter-UE coordination</w:t>
            </w:r>
            <w:r>
              <w:rPr>
                <w:lang w:val="en-US" w:eastAsia="ko-KR"/>
              </w:rPr>
              <w:t xml:space="preserve"> for SL-PRS [RAN1]</w:t>
            </w:r>
            <w:r>
              <w:rPr>
                <w:rFonts w:eastAsia="MS Mincho"/>
                <w:lang w:val="en-US" w:eastAsia="ko-KR"/>
              </w:rPr>
              <w:t>.</w:t>
            </w:r>
          </w:p>
          <w:p w:rsidR="002862F2" w:rsidRDefault="00C94E16">
            <w:pPr>
              <w:numPr>
                <w:ilvl w:val="2"/>
                <w:numId w:val="7"/>
              </w:numPr>
              <w:spacing w:after="0" w:line="276" w:lineRule="auto"/>
              <w:rPr>
                <w:rFonts w:eastAsia="MS Mincho"/>
                <w:lang w:val="en-US" w:eastAsia="ko-KR"/>
              </w:rPr>
            </w:pPr>
            <w:r>
              <w:rPr>
                <w:lang w:val="en-US" w:eastAsia="ko-KR"/>
              </w:rPr>
              <w:t>Support resource allocation f</w:t>
            </w:r>
            <w:r>
              <w:rPr>
                <w:lang w:val="en-US" w:eastAsia="ko-KR"/>
              </w:rPr>
              <w:t xml:space="preserve">or shared resource pool with Rel-16/17/18 </w:t>
            </w:r>
            <w:proofErr w:type="spellStart"/>
            <w:r>
              <w:rPr>
                <w:lang w:val="en-US" w:eastAsia="ko-KR"/>
              </w:rPr>
              <w:t>sidelink</w:t>
            </w:r>
            <w:proofErr w:type="spellEnd"/>
            <w:r>
              <w:rPr>
                <w:lang w:val="en-US" w:eastAsia="ko-KR"/>
              </w:rPr>
              <w:t xml:space="preserve"> communication and dedicated resource pool for SL PRS [RAN1].</w:t>
            </w:r>
          </w:p>
          <w:p w:rsidR="002862F2" w:rsidRDefault="00C94E16">
            <w:pPr>
              <w:numPr>
                <w:ilvl w:val="3"/>
                <w:numId w:val="7"/>
              </w:numPr>
              <w:spacing w:after="0" w:line="276" w:lineRule="auto"/>
              <w:rPr>
                <w:rFonts w:eastAsia="MS Mincho"/>
                <w:lang w:val="en-US" w:eastAsia="ko-KR"/>
              </w:rPr>
            </w:pPr>
            <w:r>
              <w:rPr>
                <w:lang w:val="en-US" w:eastAsia="ko-KR"/>
              </w:rPr>
              <w:lastRenderedPageBreak/>
              <w:t xml:space="preserve">NOTE: For SL positioning resource (pre-)configuration in a shared resource pool with Rel-16/17/18 </w:t>
            </w:r>
            <w:proofErr w:type="spellStart"/>
            <w:r>
              <w:rPr>
                <w:lang w:val="en-US" w:eastAsia="ko-KR"/>
              </w:rPr>
              <w:t>sidelink</w:t>
            </w:r>
            <w:proofErr w:type="spellEnd"/>
            <w:r>
              <w:rPr>
                <w:lang w:val="en-US" w:eastAsia="ko-KR"/>
              </w:rPr>
              <w:t xml:space="preserve"> communication, backward compatibility</w:t>
            </w:r>
            <w:r>
              <w:rPr>
                <w:lang w:val="en-US" w:eastAsia="ko-KR"/>
              </w:rPr>
              <w:t xml:space="preserve"> with legacy Rel-16/17 UEs should be ensured.</w:t>
            </w:r>
          </w:p>
          <w:p w:rsidR="002862F2" w:rsidRDefault="00C94E16">
            <w:pPr>
              <w:numPr>
                <w:ilvl w:val="1"/>
                <w:numId w:val="7"/>
              </w:numPr>
              <w:spacing w:after="0" w:line="276" w:lineRule="auto"/>
              <w:rPr>
                <w:lang w:val="en-US" w:eastAsia="ko-KR"/>
              </w:rPr>
            </w:pPr>
            <w:r>
              <w:rPr>
                <w:lang w:val="en-US" w:eastAsia="ko-KR"/>
              </w:rPr>
              <w:t xml:space="preserve">Specify procedures for transmit power control for SL PRS transmissions at least based on open loop power control (OLPC) [RAN1]. </w:t>
            </w:r>
          </w:p>
          <w:p w:rsidR="002862F2" w:rsidRDefault="00C94E16">
            <w:pPr>
              <w:numPr>
                <w:ilvl w:val="1"/>
                <w:numId w:val="7"/>
              </w:numPr>
              <w:spacing w:after="0" w:line="276" w:lineRule="auto"/>
              <w:rPr>
                <w:lang w:val="en-US" w:eastAsia="ko-KR"/>
              </w:rPr>
            </w:pPr>
            <w:r>
              <w:rPr>
                <w:lang w:val="en-US" w:eastAsia="ko-KR"/>
              </w:rPr>
              <w:t xml:space="preserve">Specify </w:t>
            </w:r>
            <w:proofErr w:type="spellStart"/>
            <w:r>
              <w:rPr>
                <w:lang w:val="en-US" w:eastAsia="ko-KR"/>
              </w:rPr>
              <w:t>signalling</w:t>
            </w:r>
            <w:proofErr w:type="spellEnd"/>
            <w:r>
              <w:rPr>
                <w:lang w:val="en-US" w:eastAsia="ko-KR"/>
              </w:rPr>
              <w:t xml:space="preserve"> and associated UE behavior for support of unicast, groupcast (</w:t>
            </w:r>
            <w:r>
              <w:rPr>
                <w:lang w:val="en-US" w:eastAsia="ko-KR"/>
              </w:rPr>
              <w:t>not including many to one) and broadcast of SL PRS transmissions [RAN1, RAN2].</w:t>
            </w:r>
          </w:p>
          <w:p w:rsidR="002862F2" w:rsidRDefault="00C94E16">
            <w:pPr>
              <w:numPr>
                <w:ilvl w:val="1"/>
                <w:numId w:val="7"/>
              </w:numPr>
              <w:spacing w:after="0" w:line="276" w:lineRule="auto"/>
              <w:rPr>
                <w:lang w:val="en-US" w:eastAsia="ko-KR"/>
              </w:rPr>
            </w:pPr>
            <w:r>
              <w:rPr>
                <w:lang w:val="en-US" w:eastAsia="ko-KR"/>
              </w:rPr>
              <w:t xml:space="preserve">Specify unicast session-based </w:t>
            </w:r>
            <w:proofErr w:type="spellStart"/>
            <w:r>
              <w:rPr>
                <w:lang w:val="en-US" w:eastAsia="ko-KR"/>
              </w:rPr>
              <w:t>signalling</w:t>
            </w:r>
            <w:proofErr w:type="spellEnd"/>
            <w:r>
              <w:rPr>
                <w:lang w:val="en-US" w:eastAsia="ko-KR"/>
              </w:rPr>
              <w:t xml:space="preserve"> and procedures to facilitate support of SL positioning for single target UE (it is not precluded to apply the procedures to multiple tar</w:t>
            </w:r>
            <w:r>
              <w:rPr>
                <w:lang w:val="en-US" w:eastAsia="ko-KR"/>
              </w:rPr>
              <w:t xml:space="preserve">get UEs but no signaling optimizations will be considered for this case) [RAN2, RAN3]: </w:t>
            </w:r>
          </w:p>
          <w:p w:rsidR="002862F2" w:rsidRDefault="00C94E16">
            <w:pPr>
              <w:numPr>
                <w:ilvl w:val="2"/>
                <w:numId w:val="7"/>
              </w:numPr>
              <w:spacing w:after="0" w:line="276" w:lineRule="auto"/>
              <w:rPr>
                <w:lang w:val="en-US" w:eastAsia="ko-KR"/>
              </w:rPr>
            </w:pPr>
            <w:r>
              <w:rPr>
                <w:bCs/>
              </w:rPr>
              <w:t xml:space="preserve">Specify the </w:t>
            </w:r>
            <w:r>
              <w:rPr>
                <w:rFonts w:eastAsia="等线" w:hint="eastAsia"/>
                <w:lang w:eastAsia="zh-CN"/>
              </w:rPr>
              <w:t>p</w:t>
            </w:r>
            <w:r>
              <w:rPr>
                <w:lang w:eastAsia="zh-CN"/>
              </w:rPr>
              <w:t xml:space="preserve">rotocol </w:t>
            </w:r>
            <w:r>
              <w:rPr>
                <w:rFonts w:eastAsia="等线" w:hint="eastAsia"/>
                <w:lang w:eastAsia="zh-CN"/>
              </w:rPr>
              <w:t xml:space="preserve">and procedures </w:t>
            </w:r>
            <w:r>
              <w:rPr>
                <w:lang w:eastAsia="zh-CN"/>
              </w:rPr>
              <w:t xml:space="preserve">for SL positioning between UEs (Protocol for </w:t>
            </w:r>
            <w:proofErr w:type="spellStart"/>
            <w:r>
              <w:rPr>
                <w:lang w:eastAsia="zh-CN"/>
              </w:rPr>
              <w:t>Sidelink</w:t>
            </w:r>
            <w:proofErr w:type="spellEnd"/>
            <w:r>
              <w:rPr>
                <w:lang w:eastAsia="zh-CN"/>
              </w:rPr>
              <w:t xml:space="preserve"> positioning procedures (SLPP))</w:t>
            </w:r>
            <w:r>
              <w:rPr>
                <w:lang w:val="en-US" w:eastAsia="ko-KR"/>
              </w:rPr>
              <w:t xml:space="preserve">. </w:t>
            </w:r>
          </w:p>
          <w:p w:rsidR="002862F2" w:rsidRDefault="00C94E16">
            <w:pPr>
              <w:numPr>
                <w:ilvl w:val="2"/>
                <w:numId w:val="7"/>
              </w:numPr>
              <w:spacing w:after="0" w:line="276" w:lineRule="auto"/>
              <w:rPr>
                <w:rFonts w:eastAsia="宋体"/>
                <w:lang w:val="en-US" w:eastAsia="ko-KR"/>
              </w:rPr>
            </w:pPr>
            <w:r>
              <w:rPr>
                <w:bCs/>
              </w:rPr>
              <w:t xml:space="preserve">Specify the </w:t>
            </w:r>
            <w:r>
              <w:rPr>
                <w:rFonts w:eastAsia="等线"/>
                <w:lang w:eastAsia="zh-CN"/>
              </w:rPr>
              <w:t>protocol and procedures for SL po</w:t>
            </w:r>
            <w:r>
              <w:rPr>
                <w:rFonts w:eastAsia="等线"/>
                <w:lang w:eastAsia="zh-CN"/>
              </w:rPr>
              <w:t>sitioning between UEs and a single LMF</w:t>
            </w:r>
            <w:r>
              <w:rPr>
                <w:rFonts w:eastAsia="等线"/>
                <w:lang w:eastAsia="zh-CN"/>
              </w:rPr>
              <w:t>, including joint PC5-Uu scenarios</w:t>
            </w:r>
            <w:r>
              <w:rPr>
                <w:rFonts w:eastAsia="MS Mincho"/>
                <w:lang w:eastAsia="zh-CN"/>
              </w:rPr>
              <w:t xml:space="preserve">. </w:t>
            </w:r>
          </w:p>
          <w:p w:rsidR="002862F2" w:rsidRDefault="00C94E16">
            <w:pPr>
              <w:numPr>
                <w:ilvl w:val="3"/>
                <w:numId w:val="7"/>
              </w:numPr>
              <w:spacing w:after="0" w:line="276" w:lineRule="auto"/>
              <w:rPr>
                <w:rFonts w:eastAsia="宋体"/>
                <w:lang w:val="en-US" w:eastAsia="ko-KR"/>
              </w:rPr>
            </w:pPr>
            <w:r>
              <w:rPr>
                <w:lang w:val="en-US" w:eastAsia="ko-KR"/>
              </w:rPr>
              <w:t>NOTE: Assumes all involved UEs are served by same LMF.</w:t>
            </w:r>
          </w:p>
          <w:p w:rsidR="002862F2" w:rsidRDefault="00C94E16">
            <w:pPr>
              <w:numPr>
                <w:ilvl w:val="2"/>
                <w:numId w:val="7"/>
              </w:numPr>
              <w:spacing w:after="0" w:line="276" w:lineRule="auto"/>
              <w:rPr>
                <w:lang w:val="en-US" w:eastAsia="ko-KR"/>
              </w:rPr>
            </w:pPr>
            <w:r>
              <w:rPr>
                <w:lang w:val="en-US" w:eastAsia="ko-KR"/>
              </w:rPr>
              <w:t xml:space="preserve">For SL-TDOA, RAN2 will not work on procedures for synchronization of the anchor UEs. RAN2 can </w:t>
            </w:r>
            <w:r>
              <w:rPr>
                <w:lang w:val="en-US" w:eastAsia="ko-KR"/>
              </w:rPr>
              <w:t>discuss and implement agreed RAN1 parameters related to synchronization.</w:t>
            </w:r>
          </w:p>
          <w:p w:rsidR="002862F2" w:rsidRDefault="00C94E16">
            <w:pPr>
              <w:numPr>
                <w:ilvl w:val="1"/>
                <w:numId w:val="7"/>
              </w:numPr>
              <w:spacing w:after="0" w:line="276" w:lineRule="auto"/>
              <w:rPr>
                <w:lang w:val="en-US" w:eastAsia="ko-KR"/>
              </w:rPr>
            </w:pPr>
            <w:r>
              <w:rPr>
                <w:lang w:val="en-US" w:eastAsia="ko-KR"/>
              </w:rPr>
              <w:t xml:space="preserve">Specify </w:t>
            </w:r>
            <w:proofErr w:type="spellStart"/>
            <w:r>
              <w:rPr>
                <w:lang w:val="en-US" w:eastAsia="ko-KR"/>
              </w:rPr>
              <w:t>signalling</w:t>
            </w:r>
            <w:proofErr w:type="spellEnd"/>
            <w:r>
              <w:rPr>
                <w:lang w:val="en-US" w:eastAsia="ko-KR"/>
              </w:rPr>
              <w:t xml:space="preserve"> to NG-RAN for </w:t>
            </w:r>
            <w:proofErr w:type="spellStart"/>
            <w:r>
              <w:rPr>
                <w:lang w:val="en-US" w:eastAsia="ko-KR"/>
              </w:rPr>
              <w:t>sidelink</w:t>
            </w:r>
            <w:proofErr w:type="spellEnd"/>
            <w:r>
              <w:rPr>
                <w:lang w:val="en-US" w:eastAsia="ko-KR"/>
              </w:rPr>
              <w:t xml:space="preserve"> positioning and ranging service authorizations as needed. [RAN3, RAN2] </w:t>
            </w:r>
          </w:p>
          <w:p w:rsidR="002862F2" w:rsidRDefault="00C94E16">
            <w:pPr>
              <w:numPr>
                <w:ilvl w:val="1"/>
                <w:numId w:val="7"/>
              </w:numPr>
              <w:spacing w:after="0" w:line="276" w:lineRule="auto"/>
              <w:rPr>
                <w:lang w:val="en-US" w:eastAsia="ko-KR"/>
              </w:rPr>
            </w:pPr>
            <w:r>
              <w:rPr>
                <w:lang w:val="en-US" w:eastAsia="ko-KR"/>
              </w:rPr>
              <w:t>Specify corresponding new core requirements, as well as identifying a</w:t>
            </w:r>
            <w:r>
              <w:rPr>
                <w:lang w:val="en-US" w:eastAsia="ko-KR"/>
              </w:rPr>
              <w:t>nd specify the impact on the existing RAN4 specification, including RRM measurements and procedures [RAN4].</w:t>
            </w:r>
          </w:p>
          <w:p w:rsidR="002862F2" w:rsidRDefault="002862F2">
            <w:pPr>
              <w:spacing w:after="0" w:line="276" w:lineRule="auto"/>
              <w:ind w:left="720"/>
              <w:rPr>
                <w:rFonts w:eastAsia="MS Mincho"/>
                <w:lang w:val="en-US" w:eastAsia="ko-KR"/>
              </w:rPr>
            </w:pPr>
          </w:p>
          <w:p w:rsidR="002862F2" w:rsidRDefault="00C94E16">
            <w:pPr>
              <w:jc w:val="center"/>
              <w:rPr>
                <w:lang w:val="en-US" w:eastAsia="zh-CN"/>
              </w:rPr>
            </w:pPr>
            <w:r>
              <w:rPr>
                <w:rFonts w:hint="eastAsia"/>
                <w:lang w:val="en-US" w:eastAsia="zh-CN"/>
              </w:rPr>
              <w:t>&lt;omitted&gt;</w:t>
            </w:r>
          </w:p>
        </w:tc>
      </w:tr>
    </w:tbl>
    <w:p w:rsidR="002862F2" w:rsidRDefault="002862F2"/>
    <w:p w:rsidR="002862F2" w:rsidRDefault="002862F2">
      <w:p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p>
    <w:p w:rsidR="002862F2" w:rsidRDefault="002862F2">
      <w:pPr>
        <w:tabs>
          <w:tab w:val="left" w:pos="5103"/>
        </w:tabs>
        <w:spacing w:after="120"/>
        <w:ind w:left="2268" w:hanging="2268"/>
        <w:rPr>
          <w:bCs/>
          <w:sz w:val="20"/>
          <w:szCs w:val="20"/>
          <w:lang w:val="sv-SE" w:eastAsia="zh-CN"/>
        </w:rPr>
      </w:pPr>
    </w:p>
    <w:p w:rsidR="002862F2" w:rsidRDefault="002862F2">
      <w:p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p>
    <w:sectPr w:rsidR="002862F2">
      <w:headerReference w:type="default" r:id="rId10"/>
      <w:footerReference w:type="even" r:id="rId11"/>
      <w:footerReference w:type="default" r:id="rId12"/>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E16" w:rsidRDefault="00C94E16">
      <w:pPr>
        <w:spacing w:line="240" w:lineRule="auto"/>
      </w:pPr>
      <w:r>
        <w:separator/>
      </w:r>
    </w:p>
  </w:endnote>
  <w:endnote w:type="continuationSeparator" w:id="0">
    <w:p w:rsidR="00C94E16" w:rsidRDefault="00C94E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2F2" w:rsidRDefault="00C94E16">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2862F2" w:rsidRDefault="002862F2">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2F2" w:rsidRDefault="002862F2">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E16" w:rsidRDefault="00C94E16">
      <w:pPr>
        <w:spacing w:after="0"/>
      </w:pPr>
      <w:r>
        <w:separator/>
      </w:r>
    </w:p>
  </w:footnote>
  <w:footnote w:type="continuationSeparator" w:id="0">
    <w:p w:rsidR="00C94E16" w:rsidRDefault="00C94E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2F2" w:rsidRDefault="002862F2">
    <w:pPr>
      <w:jc w:val="distribute"/>
      <w:rPr>
        <w:rFonts w:eastAsia="华文仿宋"/>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15A163"/>
    <w:multiLevelType w:val="multilevel"/>
    <w:tmpl w:val="7D15A163"/>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7"/>
  </w:num>
  <w:num w:numId="2">
    <w:abstractNumId w:val="5"/>
  </w:num>
  <w:num w:numId="3">
    <w:abstractNumId w:val="2"/>
  </w:num>
  <w:num w:numId="4">
    <w:abstractNumId w:val="3"/>
  </w:num>
  <w:num w:numId="5">
    <w:abstractNumId w:val="4"/>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4D06"/>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158"/>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2F2"/>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02"/>
    <w:rsid w:val="005F4A5E"/>
    <w:rsid w:val="005F4F6B"/>
    <w:rsid w:val="005F56A6"/>
    <w:rsid w:val="005F56EB"/>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0EF"/>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0B3E"/>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4E16"/>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E649F"/>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0FF6D33"/>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000B"/>
    <w:rsid w:val="04405CD4"/>
    <w:rsid w:val="0448382D"/>
    <w:rsid w:val="04BF588C"/>
    <w:rsid w:val="04CA0EF3"/>
    <w:rsid w:val="04D962BC"/>
    <w:rsid w:val="04FF5025"/>
    <w:rsid w:val="05616BD2"/>
    <w:rsid w:val="05742D95"/>
    <w:rsid w:val="05AC0F26"/>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771F6"/>
    <w:rsid w:val="07DB31F6"/>
    <w:rsid w:val="07E03628"/>
    <w:rsid w:val="07F543BF"/>
    <w:rsid w:val="08036844"/>
    <w:rsid w:val="08244160"/>
    <w:rsid w:val="083828A5"/>
    <w:rsid w:val="08634AA9"/>
    <w:rsid w:val="086A0D8F"/>
    <w:rsid w:val="08710FA8"/>
    <w:rsid w:val="08865F0F"/>
    <w:rsid w:val="08870B03"/>
    <w:rsid w:val="08F85767"/>
    <w:rsid w:val="09253E9C"/>
    <w:rsid w:val="0929781C"/>
    <w:rsid w:val="09324291"/>
    <w:rsid w:val="093E0FF6"/>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B310DA2"/>
    <w:rsid w:val="0B545B44"/>
    <w:rsid w:val="0B99346A"/>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4F225D"/>
    <w:rsid w:val="0D681B8E"/>
    <w:rsid w:val="0D9222C1"/>
    <w:rsid w:val="0DBA2F7C"/>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C657B"/>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700767"/>
    <w:rsid w:val="138856AD"/>
    <w:rsid w:val="13A32BC6"/>
    <w:rsid w:val="13A64971"/>
    <w:rsid w:val="13C43EB9"/>
    <w:rsid w:val="13CB1DED"/>
    <w:rsid w:val="13D366D6"/>
    <w:rsid w:val="13DC640D"/>
    <w:rsid w:val="13E56521"/>
    <w:rsid w:val="13FB29C3"/>
    <w:rsid w:val="140300E4"/>
    <w:rsid w:val="141842FE"/>
    <w:rsid w:val="14190604"/>
    <w:rsid w:val="141C5381"/>
    <w:rsid w:val="14251B39"/>
    <w:rsid w:val="14352831"/>
    <w:rsid w:val="14573708"/>
    <w:rsid w:val="146B64E1"/>
    <w:rsid w:val="14733BAA"/>
    <w:rsid w:val="14993B21"/>
    <w:rsid w:val="14B63A44"/>
    <w:rsid w:val="14B83A99"/>
    <w:rsid w:val="14CE6421"/>
    <w:rsid w:val="14D73601"/>
    <w:rsid w:val="14DF00CB"/>
    <w:rsid w:val="15014A40"/>
    <w:rsid w:val="15250C4F"/>
    <w:rsid w:val="153546E2"/>
    <w:rsid w:val="15363948"/>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60140B"/>
    <w:rsid w:val="168179E1"/>
    <w:rsid w:val="16950091"/>
    <w:rsid w:val="169C366A"/>
    <w:rsid w:val="16A71A2B"/>
    <w:rsid w:val="16AC419C"/>
    <w:rsid w:val="16D37682"/>
    <w:rsid w:val="16DA1E4D"/>
    <w:rsid w:val="16E0070F"/>
    <w:rsid w:val="16FB015A"/>
    <w:rsid w:val="17003574"/>
    <w:rsid w:val="17156A85"/>
    <w:rsid w:val="1747120E"/>
    <w:rsid w:val="174D14CA"/>
    <w:rsid w:val="17535B24"/>
    <w:rsid w:val="17A31370"/>
    <w:rsid w:val="17B06B1C"/>
    <w:rsid w:val="17F53DC6"/>
    <w:rsid w:val="17F87714"/>
    <w:rsid w:val="180B4FFB"/>
    <w:rsid w:val="18211C57"/>
    <w:rsid w:val="18364CAB"/>
    <w:rsid w:val="1842664F"/>
    <w:rsid w:val="18543673"/>
    <w:rsid w:val="185D2FB9"/>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70915"/>
    <w:rsid w:val="1B3D4012"/>
    <w:rsid w:val="1B420B34"/>
    <w:rsid w:val="1B47451C"/>
    <w:rsid w:val="1B481AFB"/>
    <w:rsid w:val="1B747F6C"/>
    <w:rsid w:val="1B7A1663"/>
    <w:rsid w:val="1B8F6978"/>
    <w:rsid w:val="1BA669C0"/>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EF452C8"/>
    <w:rsid w:val="1F100AE0"/>
    <w:rsid w:val="1F1D7456"/>
    <w:rsid w:val="1F264681"/>
    <w:rsid w:val="1F3E1073"/>
    <w:rsid w:val="1F4177C4"/>
    <w:rsid w:val="1F63560E"/>
    <w:rsid w:val="1F8E0455"/>
    <w:rsid w:val="1FA76059"/>
    <w:rsid w:val="1FAF272D"/>
    <w:rsid w:val="1FD3538A"/>
    <w:rsid w:val="1FDB17D6"/>
    <w:rsid w:val="1FE374E8"/>
    <w:rsid w:val="1FEA00B9"/>
    <w:rsid w:val="1FFC5344"/>
    <w:rsid w:val="204934AB"/>
    <w:rsid w:val="20573F56"/>
    <w:rsid w:val="20577E1E"/>
    <w:rsid w:val="206161C4"/>
    <w:rsid w:val="20705710"/>
    <w:rsid w:val="20735CC7"/>
    <w:rsid w:val="20776574"/>
    <w:rsid w:val="207E0EE4"/>
    <w:rsid w:val="20840318"/>
    <w:rsid w:val="20930DFA"/>
    <w:rsid w:val="20932143"/>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23F17"/>
    <w:rsid w:val="219C5C1E"/>
    <w:rsid w:val="21A40526"/>
    <w:rsid w:val="21B32301"/>
    <w:rsid w:val="21D36B48"/>
    <w:rsid w:val="21D93ECC"/>
    <w:rsid w:val="21F21EF8"/>
    <w:rsid w:val="221B7641"/>
    <w:rsid w:val="222E4F94"/>
    <w:rsid w:val="224F5646"/>
    <w:rsid w:val="22717D6E"/>
    <w:rsid w:val="22737892"/>
    <w:rsid w:val="229A0A46"/>
    <w:rsid w:val="22B62DEF"/>
    <w:rsid w:val="22BD0C78"/>
    <w:rsid w:val="22D5441E"/>
    <w:rsid w:val="22D61F71"/>
    <w:rsid w:val="22DF5232"/>
    <w:rsid w:val="22F62609"/>
    <w:rsid w:val="232660FF"/>
    <w:rsid w:val="23535416"/>
    <w:rsid w:val="237B12D0"/>
    <w:rsid w:val="23AE3BB4"/>
    <w:rsid w:val="23BE01FF"/>
    <w:rsid w:val="23C11EE2"/>
    <w:rsid w:val="2418652F"/>
    <w:rsid w:val="242D74E9"/>
    <w:rsid w:val="2431046E"/>
    <w:rsid w:val="243C25FD"/>
    <w:rsid w:val="244264A1"/>
    <w:rsid w:val="2448414E"/>
    <w:rsid w:val="244C451B"/>
    <w:rsid w:val="245646BC"/>
    <w:rsid w:val="245A1846"/>
    <w:rsid w:val="248512BD"/>
    <w:rsid w:val="24AA405E"/>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5EB5910"/>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B132D6"/>
    <w:rsid w:val="27BB1B52"/>
    <w:rsid w:val="27FF1FDA"/>
    <w:rsid w:val="28026CAF"/>
    <w:rsid w:val="282C0C21"/>
    <w:rsid w:val="28452F20"/>
    <w:rsid w:val="285D3800"/>
    <w:rsid w:val="286F1FA1"/>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9A5021"/>
    <w:rsid w:val="2FA90F8C"/>
    <w:rsid w:val="2FDD2280"/>
    <w:rsid w:val="300160A4"/>
    <w:rsid w:val="3003631E"/>
    <w:rsid w:val="300551AF"/>
    <w:rsid w:val="306955F7"/>
    <w:rsid w:val="30745F5B"/>
    <w:rsid w:val="3078124A"/>
    <w:rsid w:val="3090209F"/>
    <w:rsid w:val="30917A60"/>
    <w:rsid w:val="30953FB5"/>
    <w:rsid w:val="30B8556A"/>
    <w:rsid w:val="30B900CD"/>
    <w:rsid w:val="30C81FBE"/>
    <w:rsid w:val="30D675AD"/>
    <w:rsid w:val="30EF2DA4"/>
    <w:rsid w:val="31174143"/>
    <w:rsid w:val="313169C2"/>
    <w:rsid w:val="31623402"/>
    <w:rsid w:val="316E0E8D"/>
    <w:rsid w:val="31982EEE"/>
    <w:rsid w:val="31AD4AD2"/>
    <w:rsid w:val="31AF1987"/>
    <w:rsid w:val="31B02B79"/>
    <w:rsid w:val="31B75425"/>
    <w:rsid w:val="31EB4942"/>
    <w:rsid w:val="31EC5E5F"/>
    <w:rsid w:val="31F340AE"/>
    <w:rsid w:val="31FE7AEF"/>
    <w:rsid w:val="32165937"/>
    <w:rsid w:val="32187B45"/>
    <w:rsid w:val="32220B29"/>
    <w:rsid w:val="32362071"/>
    <w:rsid w:val="3273050E"/>
    <w:rsid w:val="32891F62"/>
    <w:rsid w:val="328C1583"/>
    <w:rsid w:val="328F1C65"/>
    <w:rsid w:val="32B64C1D"/>
    <w:rsid w:val="32BA6C6C"/>
    <w:rsid w:val="32C9080C"/>
    <w:rsid w:val="32CA0CF4"/>
    <w:rsid w:val="32D64AF4"/>
    <w:rsid w:val="32F43603"/>
    <w:rsid w:val="334275F5"/>
    <w:rsid w:val="33636F14"/>
    <w:rsid w:val="33670485"/>
    <w:rsid w:val="338871CC"/>
    <w:rsid w:val="338E2F45"/>
    <w:rsid w:val="3397329C"/>
    <w:rsid w:val="33C54618"/>
    <w:rsid w:val="33FB1FED"/>
    <w:rsid w:val="34211C7C"/>
    <w:rsid w:val="347A4EB8"/>
    <w:rsid w:val="34A802C1"/>
    <w:rsid w:val="34D6435D"/>
    <w:rsid w:val="34DB6560"/>
    <w:rsid w:val="34DE25EF"/>
    <w:rsid w:val="34F44FA8"/>
    <w:rsid w:val="35183D8B"/>
    <w:rsid w:val="35226E0E"/>
    <w:rsid w:val="35387D52"/>
    <w:rsid w:val="354D1271"/>
    <w:rsid w:val="35523D5A"/>
    <w:rsid w:val="355E4119"/>
    <w:rsid w:val="356926AE"/>
    <w:rsid w:val="35746D1B"/>
    <w:rsid w:val="357A09E9"/>
    <w:rsid w:val="358E0757"/>
    <w:rsid w:val="35AE7101"/>
    <w:rsid w:val="35BB43C3"/>
    <w:rsid w:val="35C93669"/>
    <w:rsid w:val="35F9212A"/>
    <w:rsid w:val="361C6957"/>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66D3"/>
    <w:rsid w:val="3A496299"/>
    <w:rsid w:val="3A68785A"/>
    <w:rsid w:val="3A7748F7"/>
    <w:rsid w:val="3A891A0E"/>
    <w:rsid w:val="3A9620D1"/>
    <w:rsid w:val="3A9E2E50"/>
    <w:rsid w:val="3AA26C9B"/>
    <w:rsid w:val="3ADC5E36"/>
    <w:rsid w:val="3AFC2B33"/>
    <w:rsid w:val="3AFC41BB"/>
    <w:rsid w:val="3B0C00BE"/>
    <w:rsid w:val="3B3B32C4"/>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56D1A"/>
    <w:rsid w:val="3C4C4C5C"/>
    <w:rsid w:val="3C893061"/>
    <w:rsid w:val="3C94676F"/>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162517"/>
    <w:rsid w:val="402D7D95"/>
    <w:rsid w:val="402F67F2"/>
    <w:rsid w:val="402F7D1A"/>
    <w:rsid w:val="405E7B10"/>
    <w:rsid w:val="40696440"/>
    <w:rsid w:val="40864884"/>
    <w:rsid w:val="4091308A"/>
    <w:rsid w:val="40945AAA"/>
    <w:rsid w:val="40A476D0"/>
    <w:rsid w:val="40AD5FC9"/>
    <w:rsid w:val="40E3786E"/>
    <w:rsid w:val="40E74724"/>
    <w:rsid w:val="41016736"/>
    <w:rsid w:val="411531A3"/>
    <w:rsid w:val="413A0F2B"/>
    <w:rsid w:val="413A1A9C"/>
    <w:rsid w:val="414B0A93"/>
    <w:rsid w:val="415723A1"/>
    <w:rsid w:val="41643432"/>
    <w:rsid w:val="41741088"/>
    <w:rsid w:val="41763F11"/>
    <w:rsid w:val="418162BB"/>
    <w:rsid w:val="41AE1418"/>
    <w:rsid w:val="42184C88"/>
    <w:rsid w:val="421B0E01"/>
    <w:rsid w:val="42205FD7"/>
    <w:rsid w:val="42354F41"/>
    <w:rsid w:val="42397238"/>
    <w:rsid w:val="423B2CAF"/>
    <w:rsid w:val="42422394"/>
    <w:rsid w:val="42481B2A"/>
    <w:rsid w:val="42774DD9"/>
    <w:rsid w:val="428328E7"/>
    <w:rsid w:val="42A53E3B"/>
    <w:rsid w:val="42F81741"/>
    <w:rsid w:val="43685FE3"/>
    <w:rsid w:val="436C5E61"/>
    <w:rsid w:val="43725D3C"/>
    <w:rsid w:val="437447B4"/>
    <w:rsid w:val="437906BF"/>
    <w:rsid w:val="43866C56"/>
    <w:rsid w:val="43885E97"/>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201C3B"/>
    <w:rsid w:val="45465A74"/>
    <w:rsid w:val="455A0335"/>
    <w:rsid w:val="455E20DB"/>
    <w:rsid w:val="457210D8"/>
    <w:rsid w:val="45C057F3"/>
    <w:rsid w:val="45E226B4"/>
    <w:rsid w:val="45E30915"/>
    <w:rsid w:val="45E40321"/>
    <w:rsid w:val="45FC7E93"/>
    <w:rsid w:val="460B662B"/>
    <w:rsid w:val="4625557D"/>
    <w:rsid w:val="464F0E9C"/>
    <w:rsid w:val="465173C0"/>
    <w:rsid w:val="46751193"/>
    <w:rsid w:val="467E3F9B"/>
    <w:rsid w:val="46825B05"/>
    <w:rsid w:val="4684656F"/>
    <w:rsid w:val="46867C6B"/>
    <w:rsid w:val="46CC7A0B"/>
    <w:rsid w:val="47002147"/>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924C97"/>
    <w:rsid w:val="48B35512"/>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C24D8"/>
    <w:rsid w:val="4A787EEE"/>
    <w:rsid w:val="4A834EBE"/>
    <w:rsid w:val="4AB03CA7"/>
    <w:rsid w:val="4AB12C5A"/>
    <w:rsid w:val="4AC50994"/>
    <w:rsid w:val="4B081256"/>
    <w:rsid w:val="4B2559B9"/>
    <w:rsid w:val="4B3040AF"/>
    <w:rsid w:val="4B55574A"/>
    <w:rsid w:val="4B5B7832"/>
    <w:rsid w:val="4B8B3072"/>
    <w:rsid w:val="4B917087"/>
    <w:rsid w:val="4BA90131"/>
    <w:rsid w:val="4BA97FB1"/>
    <w:rsid w:val="4BB36285"/>
    <w:rsid w:val="4BBC594D"/>
    <w:rsid w:val="4BD35EC5"/>
    <w:rsid w:val="4BEA00A9"/>
    <w:rsid w:val="4BEA191E"/>
    <w:rsid w:val="4BF55CE7"/>
    <w:rsid w:val="4C1A3FDE"/>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BA0BBF"/>
    <w:rsid w:val="4DD17B3C"/>
    <w:rsid w:val="4DDD4402"/>
    <w:rsid w:val="4DEE782C"/>
    <w:rsid w:val="4DF641D3"/>
    <w:rsid w:val="4E3E017D"/>
    <w:rsid w:val="4E4B167A"/>
    <w:rsid w:val="4E595188"/>
    <w:rsid w:val="4E5F59DA"/>
    <w:rsid w:val="4E7D04D3"/>
    <w:rsid w:val="4E9C207E"/>
    <w:rsid w:val="4EA44C2A"/>
    <w:rsid w:val="4EB52600"/>
    <w:rsid w:val="4EB624FD"/>
    <w:rsid w:val="4ED97DE9"/>
    <w:rsid w:val="4EE412B8"/>
    <w:rsid w:val="4EF04DAF"/>
    <w:rsid w:val="4EF23E87"/>
    <w:rsid w:val="4F2941D5"/>
    <w:rsid w:val="4F7433EE"/>
    <w:rsid w:val="4F93236A"/>
    <w:rsid w:val="4F99730C"/>
    <w:rsid w:val="4FB82659"/>
    <w:rsid w:val="4FBC3BBB"/>
    <w:rsid w:val="4FFC0A94"/>
    <w:rsid w:val="50081059"/>
    <w:rsid w:val="500D3812"/>
    <w:rsid w:val="502E6209"/>
    <w:rsid w:val="50344FAE"/>
    <w:rsid w:val="505500B2"/>
    <w:rsid w:val="507D401F"/>
    <w:rsid w:val="509B1F1D"/>
    <w:rsid w:val="509C4E92"/>
    <w:rsid w:val="50F36CD9"/>
    <w:rsid w:val="512E641B"/>
    <w:rsid w:val="51501AF7"/>
    <w:rsid w:val="515B7E88"/>
    <w:rsid w:val="515F63F0"/>
    <w:rsid w:val="516A4217"/>
    <w:rsid w:val="517D059D"/>
    <w:rsid w:val="5196480A"/>
    <w:rsid w:val="519A289D"/>
    <w:rsid w:val="51FA0C8B"/>
    <w:rsid w:val="51FA56D9"/>
    <w:rsid w:val="521723B7"/>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533EF"/>
    <w:rsid w:val="54D6790A"/>
    <w:rsid w:val="54D768B9"/>
    <w:rsid w:val="54F07EBC"/>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A4F8F"/>
    <w:rsid w:val="567F60CC"/>
    <w:rsid w:val="56975E59"/>
    <w:rsid w:val="569C350B"/>
    <w:rsid w:val="56BF0EA2"/>
    <w:rsid w:val="56D31AD8"/>
    <w:rsid w:val="56D608F2"/>
    <w:rsid w:val="56D753F4"/>
    <w:rsid w:val="56EA3232"/>
    <w:rsid w:val="56EA3918"/>
    <w:rsid w:val="57145DF1"/>
    <w:rsid w:val="57194FE1"/>
    <w:rsid w:val="573B6EDF"/>
    <w:rsid w:val="57460503"/>
    <w:rsid w:val="575272DC"/>
    <w:rsid w:val="575370FA"/>
    <w:rsid w:val="577309DF"/>
    <w:rsid w:val="578F7545"/>
    <w:rsid w:val="57B548D9"/>
    <w:rsid w:val="57BD0A78"/>
    <w:rsid w:val="57DC673E"/>
    <w:rsid w:val="57DC6FDD"/>
    <w:rsid w:val="57FB5F50"/>
    <w:rsid w:val="58067D1A"/>
    <w:rsid w:val="581366D1"/>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7E78FF"/>
    <w:rsid w:val="59811062"/>
    <w:rsid w:val="59954BBD"/>
    <w:rsid w:val="59974D7F"/>
    <w:rsid w:val="59A5251A"/>
    <w:rsid w:val="59C407FC"/>
    <w:rsid w:val="59C4124D"/>
    <w:rsid w:val="59C754AB"/>
    <w:rsid w:val="59E079AB"/>
    <w:rsid w:val="5A137521"/>
    <w:rsid w:val="5A375749"/>
    <w:rsid w:val="5A5A162D"/>
    <w:rsid w:val="5A726BA0"/>
    <w:rsid w:val="5A7F6D0A"/>
    <w:rsid w:val="5A9A2052"/>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4F41CA"/>
    <w:rsid w:val="5C620BCF"/>
    <w:rsid w:val="5C781836"/>
    <w:rsid w:val="5C7979D9"/>
    <w:rsid w:val="5C816B93"/>
    <w:rsid w:val="5C90442A"/>
    <w:rsid w:val="5C991133"/>
    <w:rsid w:val="5C995E25"/>
    <w:rsid w:val="5CCA7814"/>
    <w:rsid w:val="5D322EE3"/>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6A1C33"/>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3A7510"/>
    <w:rsid w:val="61563C9D"/>
    <w:rsid w:val="617210C7"/>
    <w:rsid w:val="619548A8"/>
    <w:rsid w:val="61B1665A"/>
    <w:rsid w:val="61C16E82"/>
    <w:rsid w:val="61D81A5C"/>
    <w:rsid w:val="61E04DCB"/>
    <w:rsid w:val="620D1678"/>
    <w:rsid w:val="62352760"/>
    <w:rsid w:val="623E0AC7"/>
    <w:rsid w:val="624E4851"/>
    <w:rsid w:val="624F1D5A"/>
    <w:rsid w:val="62756A63"/>
    <w:rsid w:val="62A07791"/>
    <w:rsid w:val="62B74829"/>
    <w:rsid w:val="62B8321C"/>
    <w:rsid w:val="62BA3305"/>
    <w:rsid w:val="62BB392D"/>
    <w:rsid w:val="62BE4F7F"/>
    <w:rsid w:val="62EB6487"/>
    <w:rsid w:val="62F37C33"/>
    <w:rsid w:val="630962B4"/>
    <w:rsid w:val="63436BBB"/>
    <w:rsid w:val="636364C9"/>
    <w:rsid w:val="63766DF5"/>
    <w:rsid w:val="63853AFA"/>
    <w:rsid w:val="63B71783"/>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E42BD2"/>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D82AA7"/>
    <w:rsid w:val="66E9436F"/>
    <w:rsid w:val="67013D99"/>
    <w:rsid w:val="670859AA"/>
    <w:rsid w:val="67165E6D"/>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F3424"/>
    <w:rsid w:val="67FA2480"/>
    <w:rsid w:val="67FF610F"/>
    <w:rsid w:val="68157B1D"/>
    <w:rsid w:val="68226C1C"/>
    <w:rsid w:val="683220D0"/>
    <w:rsid w:val="68384317"/>
    <w:rsid w:val="68566A84"/>
    <w:rsid w:val="685F312A"/>
    <w:rsid w:val="68603781"/>
    <w:rsid w:val="687820DB"/>
    <w:rsid w:val="68886D51"/>
    <w:rsid w:val="68B21ADE"/>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5852"/>
    <w:rsid w:val="6A206938"/>
    <w:rsid w:val="6A2F1F48"/>
    <w:rsid w:val="6A360751"/>
    <w:rsid w:val="6A3B19EC"/>
    <w:rsid w:val="6A6C5A40"/>
    <w:rsid w:val="6A9B47A1"/>
    <w:rsid w:val="6ACE01E1"/>
    <w:rsid w:val="6AFA1EBA"/>
    <w:rsid w:val="6AFF14C0"/>
    <w:rsid w:val="6B081F48"/>
    <w:rsid w:val="6B0E13E7"/>
    <w:rsid w:val="6B1301B0"/>
    <w:rsid w:val="6B29781B"/>
    <w:rsid w:val="6B5068BA"/>
    <w:rsid w:val="6BA903B0"/>
    <w:rsid w:val="6BFF0085"/>
    <w:rsid w:val="6C071FE6"/>
    <w:rsid w:val="6C2641F0"/>
    <w:rsid w:val="6C2F5929"/>
    <w:rsid w:val="6C321BE0"/>
    <w:rsid w:val="6C5569A0"/>
    <w:rsid w:val="6C5E35D9"/>
    <w:rsid w:val="6C8F2277"/>
    <w:rsid w:val="6CBE6C13"/>
    <w:rsid w:val="6D17028B"/>
    <w:rsid w:val="6D2552D8"/>
    <w:rsid w:val="6D302D5D"/>
    <w:rsid w:val="6D3C235D"/>
    <w:rsid w:val="6D876C37"/>
    <w:rsid w:val="6D935AB0"/>
    <w:rsid w:val="6DA11D71"/>
    <w:rsid w:val="6DA62403"/>
    <w:rsid w:val="6DB572D4"/>
    <w:rsid w:val="6DC17877"/>
    <w:rsid w:val="6DC23B45"/>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6FF84F95"/>
    <w:rsid w:val="70020A66"/>
    <w:rsid w:val="701A03F2"/>
    <w:rsid w:val="701B6FD8"/>
    <w:rsid w:val="70206DE6"/>
    <w:rsid w:val="702A62E2"/>
    <w:rsid w:val="704241B9"/>
    <w:rsid w:val="704266E6"/>
    <w:rsid w:val="704D7F88"/>
    <w:rsid w:val="704F4DC4"/>
    <w:rsid w:val="70541201"/>
    <w:rsid w:val="70544583"/>
    <w:rsid w:val="70586F11"/>
    <w:rsid w:val="706A7B0F"/>
    <w:rsid w:val="707105C8"/>
    <w:rsid w:val="7080412D"/>
    <w:rsid w:val="709A2F47"/>
    <w:rsid w:val="70AC7790"/>
    <w:rsid w:val="70C34169"/>
    <w:rsid w:val="70E1624F"/>
    <w:rsid w:val="7127456D"/>
    <w:rsid w:val="712914EF"/>
    <w:rsid w:val="716329A8"/>
    <w:rsid w:val="716D1937"/>
    <w:rsid w:val="71713A23"/>
    <w:rsid w:val="717B4AB7"/>
    <w:rsid w:val="717C199B"/>
    <w:rsid w:val="7191675E"/>
    <w:rsid w:val="71B45227"/>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D56679"/>
    <w:rsid w:val="74DA0637"/>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7FE7382"/>
    <w:rsid w:val="7800792D"/>
    <w:rsid w:val="78035215"/>
    <w:rsid w:val="780C00B1"/>
    <w:rsid w:val="780F0912"/>
    <w:rsid w:val="784F6AB7"/>
    <w:rsid w:val="7892263D"/>
    <w:rsid w:val="78D61CB2"/>
    <w:rsid w:val="78F104FB"/>
    <w:rsid w:val="78FD61AA"/>
    <w:rsid w:val="79257464"/>
    <w:rsid w:val="79493EB1"/>
    <w:rsid w:val="797C5F0E"/>
    <w:rsid w:val="797C66CF"/>
    <w:rsid w:val="79A21387"/>
    <w:rsid w:val="79DA25FF"/>
    <w:rsid w:val="7A5D7279"/>
    <w:rsid w:val="7A6239BE"/>
    <w:rsid w:val="7A7550A6"/>
    <w:rsid w:val="7AAF3771"/>
    <w:rsid w:val="7AB8671D"/>
    <w:rsid w:val="7AE0612A"/>
    <w:rsid w:val="7AE335B2"/>
    <w:rsid w:val="7AEC001A"/>
    <w:rsid w:val="7B375CD2"/>
    <w:rsid w:val="7B3F41B2"/>
    <w:rsid w:val="7B475761"/>
    <w:rsid w:val="7B49298E"/>
    <w:rsid w:val="7B570802"/>
    <w:rsid w:val="7B7B57F5"/>
    <w:rsid w:val="7B7D3C44"/>
    <w:rsid w:val="7B95174D"/>
    <w:rsid w:val="7BCC4B97"/>
    <w:rsid w:val="7BDB57AC"/>
    <w:rsid w:val="7BE208A5"/>
    <w:rsid w:val="7BE3068E"/>
    <w:rsid w:val="7BFF3A2F"/>
    <w:rsid w:val="7C150EF5"/>
    <w:rsid w:val="7C227995"/>
    <w:rsid w:val="7C440691"/>
    <w:rsid w:val="7C465BE7"/>
    <w:rsid w:val="7C4D4686"/>
    <w:rsid w:val="7C9E2FDD"/>
    <w:rsid w:val="7CAF51D0"/>
    <w:rsid w:val="7CAF6655"/>
    <w:rsid w:val="7CB50BD5"/>
    <w:rsid w:val="7CD64AD7"/>
    <w:rsid w:val="7CDA0194"/>
    <w:rsid w:val="7D095EA4"/>
    <w:rsid w:val="7D2A73BF"/>
    <w:rsid w:val="7D405935"/>
    <w:rsid w:val="7D6E224F"/>
    <w:rsid w:val="7D82314F"/>
    <w:rsid w:val="7D87285F"/>
    <w:rsid w:val="7D905BA1"/>
    <w:rsid w:val="7D9B3B81"/>
    <w:rsid w:val="7D9F54C6"/>
    <w:rsid w:val="7DA00568"/>
    <w:rsid w:val="7DA87B6D"/>
    <w:rsid w:val="7DA957CB"/>
    <w:rsid w:val="7DC82C31"/>
    <w:rsid w:val="7DF366F8"/>
    <w:rsid w:val="7E0833CB"/>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E4885"/>
  <w15:docId w15:val="{1F6D7CCE-08DD-4335-933B-4ED3D2BC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0"/>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0"/>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0"/>
    <w:qFormat/>
    <w:pPr>
      <w:numPr>
        <w:ilvl w:val="2"/>
      </w:numPr>
      <w:tabs>
        <w:tab w:val="left" w:pos="720"/>
      </w:tabs>
      <w:spacing w:before="260" w:after="260" w:line="416" w:lineRule="auto"/>
      <w:outlineLvl w:val="2"/>
    </w:pPr>
    <w:rPr>
      <w:sz w:val="24"/>
    </w:rPr>
  </w:style>
  <w:style w:type="paragraph" w:styleId="4">
    <w:name w:val="heading 4"/>
    <w:basedOn w:val="a"/>
    <w:next w:val="a"/>
    <w:link w:val="40"/>
    <w:qFormat/>
    <w:pPr>
      <w:tabs>
        <w:tab w:val="left" w:pos="432"/>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432"/>
        <w:tab w:val="clear" w:pos="864"/>
        <w:tab w:val="clear" w:pos="2071"/>
        <w:tab w:val="left" w:pos="1008"/>
        <w:tab w:val="left" w:pos="2383"/>
      </w:tabs>
      <w:outlineLvl w:val="4"/>
    </w:pPr>
  </w:style>
  <w:style w:type="paragraph" w:styleId="6">
    <w:name w:val="heading 6"/>
    <w:basedOn w:val="H6"/>
    <w:next w:val="a"/>
    <w:link w:val="60"/>
    <w:qFormat/>
    <w:p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0"/>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0"/>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0"/>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styleId="31">
    <w:name w:val="List 3"/>
    <w:basedOn w:val="21"/>
    <w:qFormat/>
    <w:pPr>
      <w:widowControl/>
      <w:spacing w:before="40"/>
      <w:ind w:left="849" w:hanging="283"/>
      <w:jc w:val="left"/>
    </w:pPr>
    <w:rPr>
      <w:rFonts w:eastAsia="MS Mincho"/>
      <w:kern w:val="0"/>
      <w:sz w:val="20"/>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eastAsia="黑体"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eastAsia="MS Mincho"/>
      <w:kern w:val="0"/>
      <w:sz w:val="20"/>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e">
    <w:name w:val="Plain Text"/>
    <w:basedOn w:val="a"/>
    <w:link w:val="af"/>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e">
    <w:name w:val="Title"/>
    <w:basedOn w:val="a"/>
    <w:next w:val="a"/>
    <w:uiPriority w:val="10"/>
    <w:qFormat/>
    <w:pPr>
      <w:spacing w:before="240" w:after="60"/>
      <w:ind w:left="1701" w:hanging="1701"/>
      <w:outlineLvl w:val="0"/>
    </w:pPr>
    <w:rPr>
      <w:rFonts w:cs="Arial"/>
      <w:b/>
      <w:bCs/>
      <w:kern w:val="28"/>
    </w:rPr>
  </w:style>
  <w:style w:type="paragraph" w:styleId="aff">
    <w:name w:val="annotation subject"/>
    <w:basedOn w:val="aa"/>
    <w:next w:val="aa"/>
    <w:link w:val="aff0"/>
    <w:semiHidden/>
    <w:qFormat/>
    <w:pPr>
      <w:widowControl/>
      <w:spacing w:before="40"/>
    </w:pPr>
    <w:rPr>
      <w:rFonts w:eastAsia="MS Mincho"/>
      <w:b/>
      <w:bCs/>
      <w:kern w:val="0"/>
      <w:sz w:val="20"/>
      <w:szCs w:val="20"/>
    </w:rPr>
  </w:style>
  <w:style w:type="table" w:styleId="aff1">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8"/>
      <w:szCs w:val="32"/>
      <w:lang w:val="en-GB"/>
    </w:rPr>
  </w:style>
  <w:style w:type="character" w:customStyle="1" w:styleId="30">
    <w:name w:val="标题 3 字符"/>
    <w:basedOn w:val="a0"/>
    <w:link w:val="3"/>
    <w:qFormat/>
    <w:rPr>
      <w:rFonts w:ascii="Arial" w:eastAsia="MS Mincho" w:hAnsi="Arial"/>
      <w:bCs/>
      <w:kern w:val="2"/>
      <w:sz w:val="24"/>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0">
    <w:name w:val="批注主题 字符"/>
    <w:basedOn w:val="Char"/>
    <w:link w:val="aff"/>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hAnsi="Arial"/>
      <w:b/>
      <w:spacing w:val="20"/>
      <w:w w:val="135"/>
      <w:kern w:val="2"/>
      <w:sz w:val="28"/>
      <w:szCs w:val="21"/>
    </w:rPr>
  </w:style>
  <w:style w:type="paragraph" w:customStyle="1" w:styleId="afff1">
    <w:name w:val="示例"/>
    <w:next w:val="afff2"/>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f2">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f5">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hAnsi="Arial"/>
      <w:kern w:val="2"/>
      <w:sz w:val="21"/>
      <w:szCs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f3">
    <w:name w:val="标准书眉一"/>
    <w:qFormat/>
    <w:pPr>
      <w:spacing w:after="160" w:line="259" w:lineRule="auto"/>
      <w:jc w:val="both"/>
    </w:pPr>
    <w:rPr>
      <w:rFonts w:ascii="Arial" w:eastAsiaTheme="minorEastAsia" w:hAnsi="Arial"/>
      <w:kern w:val="2"/>
      <w:sz w:val="21"/>
      <w:szCs w:val="21"/>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f6">
    <w:name w:val="编号列项（三级）"/>
    <w:qFormat/>
    <w:pPr>
      <w:spacing w:after="160" w:line="259" w:lineRule="auto"/>
    </w:pPr>
    <w:rPr>
      <w:rFonts w:ascii="宋体" w:eastAsiaTheme="minorEastAsia" w:hAnsi="Arial"/>
      <w:kern w:val="2"/>
      <w:sz w:val="21"/>
      <w:szCs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9">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hAnsi="Arial"/>
      <w:kern w:val="2"/>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hAnsi="Arial"/>
      <w:kern w:val="2"/>
      <w:sz w:val="21"/>
      <w:szCs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rPr>
  </w:style>
  <w:style w:type="paragraph" w:customStyle="1" w:styleId="afffffffe">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f1">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9"/>
    <w:link w:val="3GPPProposalChar"/>
    <w:qFormat/>
    <w:pPr>
      <w:numPr>
        <w:numId w:val="3"/>
      </w:numPr>
      <w:ind w:firstLineChars="0" w:firstLine="0"/>
    </w:pPr>
    <w:rPr>
      <w:rFonts w:cs="Arial"/>
      <w:color w:val="000000"/>
    </w:rPr>
  </w:style>
  <w:style w:type="paragraph" w:customStyle="1" w:styleId="3GPPObservation">
    <w:name w:val="3GPPObservation"/>
    <w:basedOn w:val="aff9"/>
    <w:link w:val="3GPPObservationChar"/>
    <w:qFormat/>
    <w:pPr>
      <w:numPr>
        <w:numId w:val="4"/>
      </w:numPr>
      <w:ind w:firstLineChars="0" w:firstLine="0"/>
    </w:pPr>
    <w:rPr>
      <w:rFonts w:cs="Arial"/>
      <w:color w:val="000000"/>
    </w:rPr>
  </w:style>
  <w:style w:type="character" w:customStyle="1" w:styleId="3GPPProposalChar">
    <w:name w:val="3GPPProposal Char"/>
    <w:basedOn w:val="aff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aff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f2">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paragraph" w:customStyle="1" w:styleId="3GPPAgreements">
    <w:name w:val="3GPP Agreements"/>
    <w:basedOn w:val="a"/>
    <w:qFormat/>
    <w:pPr>
      <w:numPr>
        <w:numId w:val="5"/>
      </w:numPr>
    </w:pPr>
  </w:style>
  <w:style w:type="character" w:customStyle="1" w:styleId="EditorsNoteChar">
    <w:name w:val="Editor's Note Char"/>
    <w:basedOn w:val="a0"/>
    <w:qFormat/>
    <w:rPr>
      <w:rFonts w:ascii="Times New Roman" w:eastAsia="Times New Roman" w:hAnsi="Times New Roman" w:cs="Times New Roman" w:hint="default"/>
      <w:color w:val="FF0000"/>
      <w:lang w:val="en-US"/>
    </w:rPr>
  </w:style>
  <w:style w:type="character" w:customStyle="1" w:styleId="NOChar">
    <w:name w:val="NO Char"/>
    <w:basedOn w:val="a0"/>
    <w:qFormat/>
  </w:style>
  <w:style w:type="character" w:customStyle="1" w:styleId="TFChar">
    <w:name w:val="TF Char"/>
    <w:basedOn w:val="a0"/>
    <w:qFormat/>
    <w:rPr>
      <w:rFonts w:ascii="Arial" w:hAnsi="Arial" w:cs="Arial" w:hint="default"/>
      <w:b/>
    </w:rPr>
  </w:style>
  <w:style w:type="paragraph" w:customStyle="1" w:styleId="Contact">
    <w:name w:val="Contact"/>
    <w:basedOn w:val="4"/>
    <w:qFormat/>
    <w:pPr>
      <w:tabs>
        <w:tab w:val="clear" w:pos="432"/>
        <w:tab w:val="clear" w:pos="864"/>
        <w:tab w:val="clear" w:pos="2071"/>
        <w:tab w:val="left" w:pos="2268"/>
        <w:tab w:val="left" w:pos="2694"/>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29B46-B726-4FCD-B40B-F335833F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1397</Words>
  <Characters>7964</Characters>
  <Application>Microsoft Office Word</Application>
  <DocSecurity>0</DocSecurity>
  <Lines>66</Lines>
  <Paragraphs>18</Paragraphs>
  <ScaleCrop>false</ScaleCrop>
  <Company>ZTE Corporation;</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2024-03-11T14:13:00Z</dcterms:created>
  <dcterms:modified xsi:type="dcterms:W3CDTF">2024-03-11T14:13:00Z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39D4D018F7484821BE6051F691FE939A</vt:lpwstr>
  </property>
</Properties>
</file>